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eastAsia" w:eastAsia="宋体"/>
          <w:sz w:val="48"/>
          <w:szCs w:val="48"/>
          <w:lang w:eastAsia="zh-CN"/>
        </w:rPr>
      </w:pPr>
    </w:p>
    <w:p>
      <w:pPr>
        <w:adjustRightInd w:val="0"/>
        <w:snapToGrid w:val="0"/>
        <w:spacing w:line="360" w:lineRule="auto"/>
        <w:jc w:val="both"/>
        <w:rPr>
          <w:rFonts w:hint="eastAsia" w:ascii="宋体" w:hAnsi="宋体" w:cs="宋体"/>
          <w:b/>
          <w:bCs/>
          <w:sz w:val="44"/>
          <w:szCs w:val="44"/>
          <w:lang w:eastAsia="zh-CN"/>
        </w:rPr>
      </w:pPr>
    </w:p>
    <w:p>
      <w:pPr>
        <w:adjustRightInd w:val="0"/>
        <w:snapToGrid w:val="0"/>
        <w:spacing w:line="360" w:lineRule="auto"/>
        <w:jc w:val="center"/>
        <w:rPr>
          <w:rFonts w:hint="eastAsia" w:ascii="宋体" w:hAnsi="宋体" w:eastAsia="宋体" w:cs="宋体"/>
          <w:b/>
          <w:bCs/>
          <w:sz w:val="40"/>
          <w:szCs w:val="40"/>
          <w:lang w:eastAsia="zh-CN"/>
        </w:rPr>
      </w:pPr>
      <w:r>
        <w:rPr>
          <w:rFonts w:hint="eastAsia" w:ascii="宋体" w:hAnsi="宋体" w:cs="宋体"/>
          <w:b/>
          <w:bCs/>
          <w:sz w:val="40"/>
          <w:szCs w:val="40"/>
          <w:lang w:eastAsia="zh-CN"/>
        </w:rPr>
        <w:t>佛山市公安局铺设电缆</w:t>
      </w:r>
    </w:p>
    <w:p>
      <w:pPr>
        <w:pStyle w:val="15"/>
        <w:rPr>
          <w:rFonts w:cs="宋体"/>
          <w:sz w:val="44"/>
          <w:szCs w:val="44"/>
        </w:rPr>
      </w:pPr>
    </w:p>
    <w:p>
      <w:pPr>
        <w:pStyle w:val="15"/>
        <w:rPr>
          <w:rFonts w:cs="宋体"/>
          <w:sz w:val="44"/>
          <w:szCs w:val="44"/>
        </w:rPr>
      </w:pPr>
    </w:p>
    <w:p>
      <w:pPr>
        <w:spacing w:line="1600" w:lineRule="atLeast"/>
        <w:jc w:val="center"/>
        <w:rPr>
          <w:rFonts w:hint="eastAsia" w:ascii="宋体" w:hAnsi="宋体" w:eastAsia="宋体" w:cs="宋体"/>
          <w:bCs/>
          <w:highlight w:val="none"/>
        </w:rPr>
      </w:pPr>
      <w:r>
        <w:rPr>
          <w:rFonts w:hint="eastAsia"/>
          <w:b/>
          <w:bCs/>
          <w:sz w:val="48"/>
          <w:szCs w:val="48"/>
        </w:rPr>
        <w:t>竞争性磋商文件</w:t>
      </w:r>
    </w:p>
    <w:p>
      <w:pPr>
        <w:pStyle w:val="30"/>
        <w:ind w:left="0" w:leftChars="0" w:firstLine="0" w:firstLineChars="0"/>
        <w:rPr>
          <w:rFonts w:hint="eastAsia" w:ascii="宋体" w:hAnsi="宋体" w:eastAsia="宋体" w:cs="宋体"/>
          <w:highlight w:val="none"/>
        </w:rPr>
      </w:pPr>
    </w:p>
    <w:p>
      <w:pPr>
        <w:pStyle w:val="30"/>
        <w:ind w:left="0" w:leftChars="0" w:firstLine="0" w:firstLineChars="0"/>
        <w:rPr>
          <w:rFonts w:hint="eastAsia" w:ascii="宋体" w:hAnsi="宋体" w:eastAsia="宋体" w:cs="宋体"/>
          <w:highlight w:val="none"/>
        </w:rPr>
      </w:pPr>
    </w:p>
    <w:p>
      <w:pPr>
        <w:pStyle w:val="30"/>
        <w:ind w:left="0" w:leftChars="0" w:firstLine="0" w:firstLineChars="0"/>
        <w:rPr>
          <w:rFonts w:hint="eastAsia" w:ascii="宋体" w:hAnsi="宋体" w:eastAsia="宋体" w:cs="宋体"/>
          <w:highlight w:val="none"/>
        </w:rPr>
      </w:pPr>
    </w:p>
    <w:p>
      <w:pPr>
        <w:pStyle w:val="30"/>
        <w:ind w:left="0" w:leftChars="0" w:firstLine="0" w:firstLineChars="0"/>
        <w:rPr>
          <w:rFonts w:hint="eastAsia" w:ascii="宋体" w:hAnsi="宋体" w:eastAsia="宋体" w:cs="宋体"/>
          <w:highlight w:val="none"/>
        </w:rPr>
      </w:pPr>
    </w:p>
    <w:tbl>
      <w:tblPr>
        <w:tblStyle w:val="24"/>
        <w:tblW w:w="7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41" w:type="dxa"/>
            <w:tcBorders>
              <w:top w:val="nil"/>
              <w:left w:val="nil"/>
              <w:bottom w:val="nil"/>
              <w:right w:val="nil"/>
            </w:tcBorders>
          </w:tcPr>
          <w:p>
            <w:pPr>
              <w:spacing w:line="500" w:lineRule="exact"/>
              <w:rPr>
                <w:rFonts w:ascii="宋体" w:hAnsi="宋体" w:cs="宋体"/>
                <w:b/>
                <w:bCs/>
                <w:sz w:val="24"/>
              </w:rPr>
            </w:pPr>
            <w:r>
              <w:rPr>
                <w:rFonts w:hint="eastAsia" w:ascii="宋体" w:hAnsi="宋体" w:cs="宋体"/>
                <w:b/>
                <w:bCs/>
                <w:sz w:val="24"/>
              </w:rPr>
              <w:t xml:space="preserve">项目编号： </w:t>
            </w:r>
          </w:p>
        </w:tc>
        <w:tc>
          <w:tcPr>
            <w:tcW w:w="5865" w:type="dxa"/>
            <w:tcBorders>
              <w:top w:val="nil"/>
              <w:left w:val="nil"/>
              <w:bottom w:val="nil"/>
              <w:right w:val="nil"/>
            </w:tcBorders>
          </w:tcPr>
          <w:p>
            <w:pPr>
              <w:spacing w:line="500" w:lineRule="exact"/>
              <w:rPr>
                <w:rFonts w:hint="eastAsia" w:ascii="宋体" w:hAnsi="宋体" w:eastAsia="宋体" w:cs="宋体"/>
                <w:b/>
                <w:bCs/>
                <w:sz w:val="24"/>
                <w:lang w:eastAsia="zh-CN"/>
              </w:rPr>
            </w:pPr>
            <w:r>
              <w:rPr>
                <w:rFonts w:hint="eastAsia" w:ascii="宋体" w:hAnsi="宋体" w:eastAsia="宋体" w:cs="宋体"/>
                <w:b/>
                <w:bCs/>
                <w:sz w:val="24"/>
                <w:lang w:eastAsia="zh-CN"/>
              </w:rPr>
              <w:t>fsganb202404005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41" w:type="dxa"/>
            <w:tcBorders>
              <w:top w:val="nil"/>
              <w:left w:val="nil"/>
              <w:bottom w:val="nil"/>
              <w:right w:val="nil"/>
            </w:tcBorders>
          </w:tcPr>
          <w:p>
            <w:pPr>
              <w:spacing w:line="500" w:lineRule="exact"/>
              <w:rPr>
                <w:rFonts w:ascii="宋体" w:hAnsi="宋体" w:cs="宋体"/>
                <w:b/>
                <w:bCs/>
                <w:sz w:val="24"/>
              </w:rPr>
            </w:pPr>
            <w:r>
              <w:rPr>
                <w:rFonts w:hint="eastAsia" w:ascii="宋体" w:hAnsi="宋体" w:cs="宋体"/>
                <w:b/>
                <w:bCs/>
                <w:sz w:val="24"/>
              </w:rPr>
              <w:t xml:space="preserve">项目名称： </w:t>
            </w:r>
            <w:r>
              <w:rPr>
                <w:rFonts w:hint="eastAsia" w:ascii="宋体" w:hAnsi="宋体" w:cs="宋体"/>
                <w:b/>
                <w:bCs/>
              </w:rPr>
              <w:fldChar w:fldCharType="begin"/>
            </w:r>
            <w:r>
              <w:rPr>
                <w:rFonts w:hint="eastAsia" w:ascii="宋体" w:hAnsi="宋体" w:cs="宋体"/>
                <w:b/>
                <w:bCs/>
              </w:rPr>
              <w:instrText xml:space="preserve"> DOCVARIABLE  项目名称  \* MERGEFORMAT </w:instrText>
            </w:r>
            <w:r>
              <w:rPr>
                <w:rFonts w:hint="eastAsia" w:ascii="宋体" w:hAnsi="宋体" w:cs="宋体"/>
                <w:b/>
                <w:bCs/>
              </w:rPr>
              <w:fldChar w:fldCharType="end"/>
            </w:r>
          </w:p>
        </w:tc>
        <w:tc>
          <w:tcPr>
            <w:tcW w:w="5865" w:type="dxa"/>
            <w:tcBorders>
              <w:top w:val="nil"/>
              <w:left w:val="nil"/>
              <w:bottom w:val="nil"/>
              <w:right w:val="nil"/>
            </w:tcBorders>
          </w:tcPr>
          <w:p>
            <w:pPr>
              <w:spacing w:line="500" w:lineRule="exact"/>
              <w:rPr>
                <w:rFonts w:hint="eastAsia" w:ascii="宋体" w:hAnsi="宋体" w:eastAsia="宋体" w:cs="宋体"/>
                <w:b/>
                <w:bCs/>
                <w:sz w:val="24"/>
                <w:lang w:eastAsia="zh-CN"/>
              </w:rPr>
            </w:pPr>
            <w:r>
              <w:rPr>
                <w:rFonts w:hint="eastAsia" w:ascii="宋体" w:hAnsi="宋体" w:cs="宋体"/>
                <w:b/>
                <w:bCs/>
                <w:sz w:val="24"/>
                <w:lang w:eastAsia="zh-CN"/>
              </w:rPr>
              <w:t>佛山市公安局铺设电缆</w:t>
            </w:r>
          </w:p>
        </w:tc>
      </w:tr>
    </w:tbl>
    <w:p>
      <w:pPr>
        <w:spacing w:line="360" w:lineRule="auto"/>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rPr>
          <w:rFonts w:hAnsi="宋体"/>
          <w:b/>
          <w:sz w:val="15"/>
          <w:szCs w:val="15"/>
        </w:rPr>
      </w:pPr>
    </w:p>
    <w:p>
      <w:pPr>
        <w:spacing w:line="360" w:lineRule="auto"/>
        <w:rPr>
          <w:b/>
          <w:sz w:val="28"/>
        </w:rPr>
      </w:pPr>
    </w:p>
    <w:p>
      <w:pPr>
        <w:spacing w:line="360" w:lineRule="auto"/>
        <w:jc w:val="center"/>
        <w:rPr>
          <w:rFonts w:ascii="黑体" w:hAnsi="宋体" w:eastAsia="黑体"/>
          <w:b/>
          <w:bCs/>
          <w:sz w:val="28"/>
        </w:rPr>
      </w:pPr>
      <w:bookmarkStart w:id="0" w:name="_Toc49329246"/>
      <w:bookmarkStart w:id="1" w:name="_Toc113157415"/>
      <w:r>
        <w:rPr>
          <w:rFonts w:hint="eastAsia" w:ascii="黑体" w:hAnsi="宋体" w:eastAsia="黑体"/>
          <w:b/>
          <w:bCs/>
          <w:sz w:val="28"/>
        </w:rPr>
        <w:t>广东远东招标代理有限公司编制</w:t>
      </w:r>
    </w:p>
    <w:p>
      <w:pPr>
        <w:spacing w:line="360" w:lineRule="auto"/>
        <w:jc w:val="center"/>
        <w:rPr>
          <w:b/>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588" w:header="567" w:footer="737" w:gutter="0"/>
          <w:pgNumType w:fmt="decimal"/>
          <w:cols w:space="720" w:num="1"/>
          <w:titlePg/>
          <w:docGrid w:type="lines" w:linePitch="312" w:charSpace="0"/>
        </w:sectPr>
      </w:pPr>
      <w:r>
        <w:rPr>
          <w:rFonts w:hint="eastAsia" w:ascii="黑体" w:hAnsi="宋体" w:eastAsia="黑体"/>
          <w:b/>
          <w:bCs/>
          <w:sz w:val="28"/>
        </w:rPr>
        <w:t>发布日期：202</w:t>
      </w:r>
      <w:r>
        <w:rPr>
          <w:rFonts w:hint="eastAsia" w:ascii="黑体" w:hAnsi="宋体" w:eastAsia="黑体"/>
          <w:b/>
          <w:bCs/>
          <w:sz w:val="28"/>
          <w:lang w:val="en-US" w:eastAsia="zh-CN"/>
        </w:rPr>
        <w:t>4</w:t>
      </w:r>
      <w:r>
        <w:rPr>
          <w:rFonts w:hint="eastAsia" w:ascii="黑体" w:hAnsi="宋体" w:eastAsia="黑体"/>
          <w:b/>
          <w:bCs/>
          <w:sz w:val="28"/>
        </w:rPr>
        <w:t xml:space="preserve">年 </w:t>
      </w:r>
      <w:r>
        <w:rPr>
          <w:rFonts w:hint="eastAsia" w:ascii="黑体" w:hAnsi="宋体" w:eastAsia="黑体"/>
          <w:b/>
          <w:bCs/>
          <w:sz w:val="28"/>
          <w:lang w:val="en-US" w:eastAsia="zh-CN"/>
        </w:rPr>
        <w:t>4</w:t>
      </w:r>
      <w:r>
        <w:rPr>
          <w:rFonts w:hint="eastAsia" w:ascii="黑体" w:hAnsi="宋体" w:eastAsia="黑体"/>
          <w:b/>
          <w:bCs/>
          <w:sz w:val="28"/>
        </w:rPr>
        <w:t xml:space="preserve"> 月</w:t>
      </w:r>
      <w:bookmarkStart w:id="2" w:name="_Toc136682880"/>
      <w:bookmarkEnd w:id="2"/>
      <w:bookmarkStart w:id="3" w:name="_Toc159385039"/>
      <w:bookmarkEnd w:id="3"/>
      <w:bookmarkStart w:id="4" w:name="_Toc136662904"/>
      <w:bookmarkEnd w:id="4"/>
    </w:p>
    <w:p>
      <w:pPr>
        <w:keepNext w:val="0"/>
        <w:keepLines w:val="0"/>
        <w:pageBreakBefore/>
        <w:widowControl w:val="0"/>
        <w:kinsoku/>
        <w:wordWrap/>
        <w:overflowPunct/>
        <w:topLinePunct w:val="0"/>
        <w:autoSpaceDE/>
        <w:autoSpaceDN/>
        <w:bidi w:val="0"/>
        <w:adjustRightInd/>
        <w:snapToGrid/>
        <w:spacing w:line="600" w:lineRule="auto"/>
        <w:jc w:val="center"/>
        <w:textAlignment w:val="auto"/>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目 录</w:t>
      </w:r>
    </w:p>
    <w:p>
      <w:pPr>
        <w:pStyle w:val="19"/>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TOC \o "1-3" \h \u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_Toc17960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0"/>
          <w:sz w:val="24"/>
          <w:szCs w:val="24"/>
        </w:rPr>
        <w:t>第一部分 响应邀请函</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_Toc17960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9"/>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_Toc27287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0"/>
          <w:sz w:val="24"/>
          <w:szCs w:val="24"/>
        </w:rPr>
        <w:t>第二部分 采购项目内容</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_Toc27287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20"/>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_Toc27789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i w:val="0"/>
          <w:sz w:val="24"/>
          <w:szCs w:val="24"/>
        </w:rPr>
        <w:t xml:space="preserve">一、 </w:t>
      </w:r>
      <w:r>
        <w:rPr>
          <w:rFonts w:hint="eastAsia" w:asciiTheme="minorEastAsia" w:hAnsiTheme="minorEastAsia" w:eastAsiaTheme="minorEastAsia" w:cstheme="minorEastAsia"/>
          <w:sz w:val="24"/>
          <w:szCs w:val="24"/>
        </w:rPr>
        <w:t>采购项目技术要求</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_Toc27789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20"/>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_Toc21199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i w:val="0"/>
          <w:sz w:val="24"/>
          <w:szCs w:val="24"/>
        </w:rPr>
        <w:t xml:space="preserve">二、 </w:t>
      </w:r>
      <w:r>
        <w:rPr>
          <w:rFonts w:hint="eastAsia" w:asciiTheme="minorEastAsia" w:hAnsiTheme="minorEastAsia" w:eastAsiaTheme="minorEastAsia" w:cstheme="minorEastAsia"/>
          <w:sz w:val="24"/>
          <w:szCs w:val="24"/>
        </w:rPr>
        <w:t>采购项目商务要求</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_Toc21199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9"/>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_Toc19531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0"/>
          <w:sz w:val="24"/>
          <w:szCs w:val="24"/>
        </w:rPr>
        <w:t>第三部分 供应商须知</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_Toc19531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20"/>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_Toc18687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一、 重要须知事项前置表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_Toc18687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20"/>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_Toc3482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二、 概念释义</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_Toc3482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20"/>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_Toc27921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三、 采购文件说明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_Toc27921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20"/>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_Toc28297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四、 响应文件说明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_Toc28297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20"/>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_Toc19926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五、 磋商小组的组成及评审程序</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_Toc19926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20"/>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_Toc20989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六、 评审方法及标准</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_Toc20989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20"/>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_Toc23427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七、 确定评审结果</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_Toc23427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9"/>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_Toc21958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0"/>
          <w:sz w:val="24"/>
          <w:szCs w:val="24"/>
        </w:rPr>
        <w:t>第四部分 合同书范本</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_Toc21958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9"/>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_Toc21993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0"/>
          <w:sz w:val="24"/>
          <w:szCs w:val="24"/>
        </w:rPr>
        <w:t>第五部分   响应文件格式</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_Toc21993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20"/>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_Toc11880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sz w:val="24"/>
          <w:szCs w:val="24"/>
        </w:rPr>
        <w:t>第一章 资格性文件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_Toc11880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20"/>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_Toc27807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sz w:val="24"/>
          <w:szCs w:val="24"/>
        </w:rPr>
        <w:t>第二章  评审内容索引</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_Toc27807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20"/>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_Toc27536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sz w:val="24"/>
          <w:szCs w:val="24"/>
        </w:rPr>
        <w:t>第三章  商务部分</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_Toc27536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20"/>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_Toc9991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sz w:val="24"/>
          <w:szCs w:val="24"/>
        </w:rPr>
        <w:t>第四章  技术部分</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_Toc9991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20"/>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_Toc2733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sz w:val="24"/>
          <w:szCs w:val="24"/>
        </w:rPr>
        <w:t>第五章  价格部分</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_Toc2733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20"/>
        <w:keepNext w:val="0"/>
        <w:keepLines w:val="0"/>
        <w:pageBreakBefore w:val="0"/>
        <w:widowControl w:val="0"/>
        <w:tabs>
          <w:tab w:val="right" w:leader="dot" w:pos="9185"/>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_Toc16509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sz w:val="24"/>
          <w:szCs w:val="24"/>
        </w:rPr>
        <w:t>第六章  其他文件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_Toc16509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sectPr>
          <w:headerReference r:id="rId9" w:type="default"/>
          <w:footerReference r:id="rId10" w:type="default"/>
          <w:pgSz w:w="11906" w:h="16838"/>
          <w:pgMar w:top="1134" w:right="1587" w:bottom="1134" w:left="1587" w:header="567" w:footer="737" w:gutter="0"/>
          <w:pgNumType w:fmt="decimal" w:start="1"/>
          <w:cols w:space="720" w:num="1"/>
          <w:docGrid w:type="lines" w:linePitch="312" w:charSpace="0"/>
        </w:sectPr>
      </w:pPr>
      <w:r>
        <w:rPr>
          <w:rFonts w:hint="eastAsia" w:asciiTheme="minorEastAsia" w:hAnsiTheme="minorEastAsia" w:eastAsiaTheme="minorEastAsia" w:cstheme="minorEastAsia"/>
          <w:sz w:val="24"/>
          <w:szCs w:val="24"/>
        </w:rPr>
        <w:fldChar w:fldCharType="end"/>
      </w:r>
      <w:bookmarkStart w:id="5" w:name="_Toc419106549"/>
      <w:bookmarkStart w:id="6" w:name="_Toc25694"/>
      <w:bookmarkStart w:id="7" w:name="_Toc5572"/>
      <w:bookmarkStart w:id="8" w:name="_Toc17441"/>
      <w:bookmarkStart w:id="9" w:name="_Toc310519872"/>
      <w:bookmarkStart w:id="10" w:name="_Toc17278"/>
      <w:bookmarkStart w:id="11" w:name="_Toc27007"/>
      <w:bookmarkStart w:id="12" w:name="_Toc20736"/>
      <w:bookmarkStart w:id="13" w:name="_Toc8577"/>
      <w:bookmarkStart w:id="14" w:name="_Toc525311881"/>
      <w:bookmarkStart w:id="15" w:name="_Toc373767185"/>
      <w:bookmarkStart w:id="16" w:name="_Toc325031928"/>
      <w:bookmarkStart w:id="17" w:name="_Toc12783"/>
      <w:bookmarkStart w:id="18" w:name="_Toc28300"/>
      <w:bookmarkStart w:id="19" w:name="_Toc18658"/>
      <w:bookmarkStart w:id="20" w:name="_Toc259803655"/>
      <w:bookmarkStart w:id="21" w:name="_Toc20214"/>
    </w:p>
    <w:p>
      <w:pPr>
        <w:pStyle w:val="23"/>
        <w:ind w:firstLine="0" w:firstLineChars="0"/>
      </w:pPr>
    </w:p>
    <w:p/>
    <w:p/>
    <w:p/>
    <w:p/>
    <w:p/>
    <w:p/>
    <w:p/>
    <w:p/>
    <w:p/>
    <w:p/>
    <w:p/>
    <w:p/>
    <w:p/>
    <w:p/>
    <w:p/>
    <w:p/>
    <w:p/>
    <w:p>
      <w:pPr>
        <w:spacing w:line="216" w:lineRule="auto"/>
        <w:jc w:val="center"/>
        <w:outlineLvl w:val="0"/>
        <w:rPr>
          <w:kern w:val="0"/>
          <w:sz w:val="52"/>
          <w:szCs w:val="20"/>
        </w:rPr>
      </w:pPr>
      <w:bookmarkStart w:id="22" w:name="_Toc17960"/>
      <w:r>
        <w:rPr>
          <w:rFonts w:hint="eastAsia"/>
          <w:kern w:val="0"/>
          <w:sz w:val="52"/>
          <w:szCs w:val="20"/>
        </w:rPr>
        <w:t>第一部分   响应邀请函</w:t>
      </w:r>
      <w:bookmarkEnd w:id="0"/>
      <w:bookmarkEnd w:id="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15"/>
        <w:rPr>
          <w:sz w:val="52"/>
          <w:szCs w:val="20"/>
        </w:rPr>
      </w:pPr>
    </w:p>
    <w:p>
      <w:pPr>
        <w:pStyle w:val="15"/>
        <w:rPr>
          <w:sz w:val="52"/>
          <w:szCs w:val="20"/>
        </w:rPr>
      </w:pPr>
    </w:p>
    <w:p>
      <w:pPr>
        <w:pStyle w:val="15"/>
        <w:rPr>
          <w:sz w:val="52"/>
          <w:szCs w:val="20"/>
        </w:rPr>
      </w:pPr>
    </w:p>
    <w:p>
      <w:pPr>
        <w:pStyle w:val="15"/>
        <w:rPr>
          <w:sz w:val="52"/>
          <w:szCs w:val="20"/>
        </w:rPr>
      </w:pPr>
    </w:p>
    <w:p>
      <w:pPr>
        <w:pStyle w:val="15"/>
        <w:rPr>
          <w:sz w:val="52"/>
          <w:szCs w:val="20"/>
        </w:rPr>
      </w:pPr>
    </w:p>
    <w:p>
      <w:pPr>
        <w:pStyle w:val="15"/>
        <w:rPr>
          <w:sz w:val="52"/>
          <w:szCs w:val="20"/>
        </w:rPr>
      </w:pPr>
    </w:p>
    <w:p>
      <w:pPr>
        <w:pStyle w:val="15"/>
        <w:rPr>
          <w:sz w:val="52"/>
          <w:szCs w:val="20"/>
        </w:rPr>
      </w:pPr>
    </w:p>
    <w:p>
      <w:pPr>
        <w:pStyle w:val="15"/>
        <w:rPr>
          <w:sz w:val="52"/>
          <w:szCs w:val="20"/>
        </w:rPr>
      </w:pPr>
    </w:p>
    <w:p>
      <w:pPr>
        <w:pStyle w:val="15"/>
        <w:rPr>
          <w:sz w:val="52"/>
          <w:szCs w:val="20"/>
        </w:rPr>
      </w:pPr>
    </w:p>
    <w:p>
      <w:pPr>
        <w:pStyle w:val="15"/>
        <w:rPr>
          <w:sz w:val="52"/>
          <w:szCs w:val="20"/>
        </w:rPr>
      </w:pPr>
    </w:p>
    <w:p>
      <w:pPr>
        <w:pStyle w:val="15"/>
        <w:rPr>
          <w:sz w:val="52"/>
          <w:szCs w:val="20"/>
        </w:rPr>
      </w:pPr>
    </w:p>
    <w:p>
      <w:pPr>
        <w:pStyle w:val="15"/>
        <w:rPr>
          <w:sz w:val="52"/>
          <w:szCs w:val="20"/>
        </w:rPr>
      </w:pPr>
    </w:p>
    <w:p>
      <w:pPr>
        <w:adjustRightInd w:val="0"/>
        <w:snapToGrid w:val="0"/>
        <w:spacing w:line="312" w:lineRule="auto"/>
        <w:jc w:val="center"/>
        <w:rPr>
          <w:rFonts w:ascii="宋体-方正超大字符集" w:eastAsia="宋体-方正超大字符集"/>
          <w:b/>
          <w:sz w:val="36"/>
          <w:szCs w:val="36"/>
        </w:rPr>
        <w:sectPr>
          <w:footerReference r:id="rId11" w:type="default"/>
          <w:pgSz w:w="11910" w:h="16845"/>
          <w:pgMar w:top="1803" w:right="1440" w:bottom="1803" w:left="1440" w:header="0" w:footer="1201" w:gutter="0"/>
          <w:pgNumType w:fmt="decimal"/>
          <w:cols w:space="720" w:num="1"/>
        </w:sectPr>
      </w:pPr>
      <w:bookmarkStart w:id="23" w:name="_Toc78604588"/>
      <w:bookmarkStart w:id="24" w:name="_Toc49329247"/>
      <w:bookmarkStart w:id="25" w:name="_Toc113157416"/>
    </w:p>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rFonts w:ascii="宋体-方正超大字符集" w:eastAsia="宋体-方正超大字符集"/>
          <w:b/>
          <w:sz w:val="36"/>
          <w:szCs w:val="36"/>
        </w:rPr>
      </w:pPr>
      <w:bookmarkStart w:id="26" w:name="_Toc310519873"/>
      <w:bookmarkStart w:id="27" w:name="_Toc7959"/>
      <w:bookmarkStart w:id="28" w:name="_Toc525311882"/>
      <w:bookmarkStart w:id="29" w:name="_Toc25825"/>
      <w:bookmarkStart w:id="30" w:name="_Toc6108"/>
      <w:bookmarkStart w:id="31" w:name="_Toc28236"/>
      <w:bookmarkStart w:id="32" w:name="_Toc23826"/>
      <w:bookmarkStart w:id="33" w:name="_Toc13642"/>
      <w:bookmarkStart w:id="34" w:name="_Toc20780"/>
      <w:bookmarkStart w:id="35" w:name="_Toc13962"/>
      <w:bookmarkStart w:id="36" w:name="_Toc419106550"/>
      <w:bookmarkStart w:id="37" w:name="_Toc7818"/>
      <w:bookmarkStart w:id="38" w:name="_Toc15852"/>
      <w:bookmarkStart w:id="39" w:name="_Toc19667"/>
      <w:bookmarkStart w:id="40" w:name="_Toc373767186"/>
      <w:bookmarkStart w:id="41" w:name="_Toc259803656"/>
      <w:bookmarkStart w:id="42" w:name="_Toc325031929"/>
      <w:r>
        <w:rPr>
          <w:rFonts w:hint="eastAsia" w:ascii="宋体-方正超大字符集" w:eastAsia="宋体-方正超大字符集"/>
          <w:b/>
          <w:sz w:val="36"/>
          <w:szCs w:val="36"/>
        </w:rPr>
        <w:t>响应邀请函</w:t>
      </w:r>
    </w:p>
    <w:p>
      <w:pPr>
        <w:keepNext w:val="0"/>
        <w:keepLines w:val="0"/>
        <w:pageBreakBefore w:val="0"/>
        <w:widowControl w:val="0"/>
        <w:kinsoku/>
        <w:wordWrap/>
        <w:overflowPunct/>
        <w:topLinePunct w:val="0"/>
        <w:autoSpaceDE/>
        <w:autoSpaceDN/>
        <w:bidi w:val="0"/>
        <w:spacing w:line="440" w:lineRule="atLeast"/>
        <w:textAlignment w:val="auto"/>
        <w:rPr>
          <w:rFonts w:ascii="Arial"/>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sz w:val="24"/>
        </w:rPr>
      </w:pPr>
      <w:r>
        <w:rPr>
          <w:rFonts w:hint="eastAsia" w:ascii="宋体" w:hAnsi="宋体"/>
          <w:sz w:val="24"/>
          <w:lang w:eastAsia="zh-CN"/>
        </w:rPr>
        <w:t>广东远东招标代理有限公司</w:t>
      </w:r>
      <w:r>
        <w:rPr>
          <w:rFonts w:hint="eastAsia" w:ascii="宋体" w:hAnsi="宋体"/>
          <w:sz w:val="24"/>
        </w:rPr>
        <w:t>受</w:t>
      </w:r>
      <w:r>
        <w:rPr>
          <w:rFonts w:hint="eastAsia" w:ascii="宋体" w:hAnsi="宋体"/>
          <w:sz w:val="24"/>
          <w:lang w:eastAsia="zh-CN"/>
        </w:rPr>
        <w:t>佛山市公安局</w:t>
      </w:r>
      <w:r>
        <w:rPr>
          <w:rFonts w:hint="eastAsia" w:ascii="宋体" w:hAnsi="宋体"/>
          <w:sz w:val="24"/>
        </w:rPr>
        <w:t>的委托，采用竞争性磋商方式组织采购</w:t>
      </w:r>
      <w:r>
        <w:rPr>
          <w:rFonts w:hint="eastAsia" w:ascii="宋体" w:hAnsi="宋体" w:cs="宋体"/>
          <w:sz w:val="24"/>
          <w:lang w:eastAsia="zh-CN"/>
        </w:rPr>
        <w:t>佛山市公安局铺设电缆</w:t>
      </w:r>
      <w:r>
        <w:rPr>
          <w:rFonts w:hint="eastAsia" w:ascii="宋体" w:hAnsi="宋体"/>
          <w:sz w:val="24"/>
        </w:rPr>
        <w:t>。欢迎符合资格条件的供应商参加。</w:t>
      </w:r>
    </w:p>
    <w:p>
      <w:pPr>
        <w:keepNext w:val="0"/>
        <w:keepLines w:val="0"/>
        <w:pageBreakBefore w:val="0"/>
        <w:widowControl w:val="0"/>
        <w:kinsoku/>
        <w:wordWrap/>
        <w:overflowPunct/>
        <w:topLinePunct w:val="0"/>
        <w:autoSpaceDE/>
        <w:autoSpaceDN/>
        <w:bidi w:val="0"/>
        <w:adjustRightInd w:val="0"/>
        <w:snapToGrid w:val="0"/>
        <w:spacing w:line="360" w:lineRule="auto"/>
        <w:ind w:left="5"/>
        <w:textAlignment w:val="auto"/>
        <w:outlineLvl w:val="2"/>
        <w:rPr>
          <w:rFonts w:ascii="宋体" w:hAnsi="宋体" w:cs="宋体"/>
          <w:b/>
          <w:bCs/>
          <w:sz w:val="24"/>
        </w:rPr>
      </w:pPr>
      <w:bookmarkStart w:id="43" w:name="_Toc18159"/>
      <w:bookmarkStart w:id="44" w:name="_Toc27857"/>
      <w:r>
        <w:rPr>
          <w:rFonts w:hint="eastAsia" w:ascii="宋体" w:hAnsi="宋体" w:cs="宋体"/>
          <w:b/>
          <w:bCs/>
          <w:spacing w:val="-6"/>
          <w:sz w:val="24"/>
        </w:rPr>
        <w:t>一</w:t>
      </w:r>
      <w:r>
        <w:rPr>
          <w:rFonts w:hint="eastAsia" w:ascii="宋体" w:hAnsi="宋体" w:cs="宋体"/>
          <w:b/>
          <w:bCs/>
          <w:spacing w:val="-3"/>
          <w:sz w:val="24"/>
        </w:rPr>
        <w:t>、项目</w:t>
      </w:r>
      <w:bookmarkEnd w:id="43"/>
      <w:r>
        <w:rPr>
          <w:rFonts w:hint="eastAsia" w:ascii="宋体" w:hAnsi="宋体" w:cs="宋体"/>
          <w:b/>
          <w:bCs/>
          <w:spacing w:val="-3"/>
          <w:sz w:val="24"/>
          <w:lang w:eastAsia="zh-CN"/>
        </w:rPr>
        <w:t>概述</w:t>
      </w:r>
      <w:bookmarkEnd w:id="44"/>
    </w:p>
    <w:p>
      <w:pPr>
        <w:keepNext w:val="0"/>
        <w:keepLines w:val="0"/>
        <w:pageBreakBefore w:val="0"/>
        <w:widowControl w:val="0"/>
        <w:kinsoku/>
        <w:wordWrap/>
        <w:overflowPunct/>
        <w:topLinePunct w:val="0"/>
        <w:autoSpaceDE/>
        <w:autoSpaceDN/>
        <w:bidi w:val="0"/>
        <w:adjustRightInd w:val="0"/>
        <w:snapToGrid w:val="0"/>
        <w:spacing w:line="360" w:lineRule="auto"/>
        <w:ind w:left="21"/>
        <w:textAlignment w:val="auto"/>
        <w:rPr>
          <w:rFonts w:ascii="宋体" w:hAnsi="宋体" w:cs="宋体"/>
          <w:sz w:val="24"/>
        </w:rPr>
      </w:pPr>
      <w:r>
        <w:rPr>
          <w:rFonts w:hint="eastAsia" w:ascii="宋体" w:hAnsi="宋体" w:cs="宋体"/>
          <w:spacing w:val="3"/>
          <w:sz w:val="24"/>
        </w:rPr>
        <w:t>1</w:t>
      </w:r>
      <w:r>
        <w:rPr>
          <w:rFonts w:hint="eastAsia" w:ascii="宋体" w:hAnsi="宋体" w:cs="宋体"/>
          <w:spacing w:val="3"/>
          <w:sz w:val="24"/>
          <w:lang w:eastAsia="zh-CN"/>
        </w:rPr>
        <w:t>、</w:t>
      </w:r>
      <w:r>
        <w:rPr>
          <w:rFonts w:hint="eastAsia" w:ascii="宋体" w:hAnsi="宋体" w:cs="宋体"/>
          <w:spacing w:val="3"/>
          <w:sz w:val="24"/>
        </w:rPr>
        <w:t>名称与编号</w:t>
      </w:r>
    </w:p>
    <w:p>
      <w:pPr>
        <w:keepNext w:val="0"/>
        <w:keepLines w:val="0"/>
        <w:pageBreakBefore w:val="0"/>
        <w:widowControl w:val="0"/>
        <w:kinsoku/>
        <w:wordWrap/>
        <w:overflowPunct/>
        <w:topLinePunct w:val="0"/>
        <w:autoSpaceDE/>
        <w:autoSpaceDN/>
        <w:bidi w:val="0"/>
        <w:adjustRightInd w:val="0"/>
        <w:snapToGrid w:val="0"/>
        <w:spacing w:line="360" w:lineRule="auto"/>
        <w:ind w:left="398"/>
        <w:textAlignment w:val="auto"/>
        <w:rPr>
          <w:rFonts w:hint="eastAsia" w:ascii="宋体" w:hAnsi="宋体" w:eastAsia="宋体" w:cs="宋体"/>
          <w:spacing w:val="1"/>
          <w:sz w:val="24"/>
          <w:lang w:eastAsia="zh-CN"/>
        </w:rPr>
      </w:pPr>
      <w:r>
        <w:rPr>
          <w:rFonts w:hint="eastAsia" w:ascii="宋体" w:hAnsi="宋体" w:cs="宋体"/>
          <w:spacing w:val="1"/>
          <w:sz w:val="24"/>
          <w:lang w:eastAsia="zh-CN"/>
        </w:rPr>
        <w:t>采购</w:t>
      </w:r>
      <w:r>
        <w:rPr>
          <w:rFonts w:hint="eastAsia" w:ascii="宋体" w:hAnsi="宋体" w:cs="宋体"/>
          <w:spacing w:val="1"/>
          <w:sz w:val="24"/>
        </w:rPr>
        <w:t>项目名称：</w:t>
      </w:r>
      <w:r>
        <w:rPr>
          <w:rFonts w:hint="eastAsia" w:ascii="宋体" w:hAnsi="宋体" w:cs="宋体"/>
          <w:spacing w:val="1"/>
          <w:sz w:val="24"/>
          <w:lang w:eastAsia="zh-CN"/>
        </w:rPr>
        <w:t>佛山市公安局铺设电缆</w:t>
      </w:r>
    </w:p>
    <w:p>
      <w:pPr>
        <w:keepNext w:val="0"/>
        <w:keepLines w:val="0"/>
        <w:pageBreakBefore w:val="0"/>
        <w:widowControl w:val="0"/>
        <w:kinsoku/>
        <w:wordWrap/>
        <w:overflowPunct/>
        <w:topLinePunct w:val="0"/>
        <w:autoSpaceDE/>
        <w:autoSpaceDN/>
        <w:bidi w:val="0"/>
        <w:adjustRightInd w:val="0"/>
        <w:snapToGrid w:val="0"/>
        <w:spacing w:line="360" w:lineRule="auto"/>
        <w:ind w:left="398"/>
        <w:textAlignment w:val="auto"/>
        <w:rPr>
          <w:rFonts w:hint="eastAsia" w:ascii="宋体" w:hAnsi="宋体" w:eastAsia="宋体" w:cs="宋体"/>
          <w:spacing w:val="1"/>
          <w:sz w:val="24"/>
          <w:lang w:eastAsia="zh-CN"/>
        </w:rPr>
      </w:pPr>
      <w:r>
        <w:rPr>
          <w:rFonts w:hint="eastAsia" w:ascii="宋体" w:hAnsi="宋体" w:cs="宋体"/>
          <w:spacing w:val="1"/>
          <w:sz w:val="24"/>
          <w:lang w:eastAsia="zh-CN"/>
        </w:rPr>
        <w:t>采购项目编号：fsganb202404005</w:t>
      </w:r>
    </w:p>
    <w:p>
      <w:pPr>
        <w:keepNext w:val="0"/>
        <w:keepLines w:val="0"/>
        <w:pageBreakBefore w:val="0"/>
        <w:widowControl w:val="0"/>
        <w:kinsoku/>
        <w:wordWrap/>
        <w:overflowPunct/>
        <w:topLinePunct w:val="0"/>
        <w:autoSpaceDE/>
        <w:autoSpaceDN/>
        <w:bidi w:val="0"/>
        <w:adjustRightInd w:val="0"/>
        <w:snapToGrid w:val="0"/>
        <w:spacing w:line="360" w:lineRule="auto"/>
        <w:ind w:left="398"/>
        <w:textAlignment w:val="auto"/>
        <w:rPr>
          <w:rFonts w:ascii="宋体" w:hAnsi="宋体" w:cs="宋体"/>
          <w:spacing w:val="1"/>
          <w:sz w:val="24"/>
        </w:rPr>
      </w:pPr>
      <w:r>
        <w:rPr>
          <w:rFonts w:hint="eastAsia" w:ascii="宋体" w:hAnsi="宋体" w:cs="宋体"/>
          <w:spacing w:val="1"/>
          <w:sz w:val="24"/>
        </w:rPr>
        <w:t>采购方式：竞争性磋商</w:t>
      </w:r>
    </w:p>
    <w:p>
      <w:pPr>
        <w:keepNext w:val="0"/>
        <w:keepLines w:val="0"/>
        <w:pageBreakBefore w:val="0"/>
        <w:widowControl w:val="0"/>
        <w:kinsoku/>
        <w:wordWrap/>
        <w:overflowPunct/>
        <w:topLinePunct w:val="0"/>
        <w:autoSpaceDE/>
        <w:autoSpaceDN/>
        <w:bidi w:val="0"/>
        <w:adjustRightInd w:val="0"/>
        <w:snapToGrid w:val="0"/>
        <w:spacing w:line="360" w:lineRule="auto"/>
        <w:ind w:left="398"/>
        <w:textAlignment w:val="auto"/>
        <w:rPr>
          <w:rFonts w:ascii="宋体" w:hAnsi="宋体" w:cs="宋体"/>
          <w:spacing w:val="1"/>
          <w:sz w:val="24"/>
        </w:rPr>
      </w:pPr>
      <w:r>
        <w:rPr>
          <w:rFonts w:hint="eastAsia" w:ascii="宋体" w:hAnsi="宋体" w:cs="宋体"/>
          <w:spacing w:val="1"/>
          <w:sz w:val="24"/>
        </w:rPr>
        <w:t>预算金额：</w:t>
      </w:r>
      <w:r>
        <w:rPr>
          <w:rFonts w:hint="eastAsia" w:ascii="宋体" w:hAnsi="宋体" w:eastAsia="宋体" w:cs="宋体"/>
          <w:sz w:val="24"/>
        </w:rPr>
        <w:t>￥</w:t>
      </w:r>
      <w:r>
        <w:rPr>
          <w:rFonts w:hint="eastAsia" w:ascii="宋体" w:hAnsi="宋体" w:eastAsia="宋体" w:cs="宋体"/>
          <w:sz w:val="24"/>
          <w:szCs w:val="24"/>
          <w:highlight w:val="none"/>
          <w:lang w:val="en-US" w:eastAsia="zh-CN"/>
        </w:rPr>
        <w:t>176,516.38</w:t>
      </w:r>
      <w:r>
        <w:rPr>
          <w:rFonts w:hint="eastAsia" w:ascii="宋体" w:hAnsi="宋体" w:cs="宋体"/>
          <w:spacing w:val="1"/>
          <w:sz w:val="24"/>
        </w:rPr>
        <w:t>元</w:t>
      </w:r>
    </w:p>
    <w:p>
      <w:pPr>
        <w:keepNext w:val="0"/>
        <w:keepLines w:val="0"/>
        <w:pageBreakBefore w:val="0"/>
        <w:widowControl w:val="0"/>
        <w:kinsoku/>
        <w:wordWrap/>
        <w:overflowPunct/>
        <w:topLinePunct w:val="0"/>
        <w:autoSpaceDE/>
        <w:autoSpaceDN/>
        <w:bidi w:val="0"/>
        <w:adjustRightInd w:val="0"/>
        <w:snapToGrid w:val="0"/>
        <w:spacing w:line="360" w:lineRule="auto"/>
        <w:ind w:left="21"/>
        <w:textAlignment w:val="auto"/>
        <w:rPr>
          <w:rFonts w:hint="eastAsia" w:ascii="宋体" w:hAnsi="宋体" w:eastAsia="宋体" w:cs="宋体"/>
          <w:spacing w:val="3"/>
          <w:sz w:val="24"/>
          <w:lang w:eastAsia="zh-CN"/>
        </w:rPr>
      </w:pPr>
      <w:r>
        <w:rPr>
          <w:rFonts w:hint="eastAsia" w:ascii="宋体" w:hAnsi="宋体" w:cs="宋体"/>
          <w:spacing w:val="3"/>
          <w:sz w:val="24"/>
        </w:rPr>
        <w:t>2</w:t>
      </w:r>
      <w:r>
        <w:rPr>
          <w:rFonts w:hint="eastAsia" w:ascii="宋体" w:hAnsi="宋体" w:cs="宋体"/>
          <w:spacing w:val="3"/>
          <w:sz w:val="24"/>
          <w:lang w:eastAsia="zh-CN"/>
        </w:rPr>
        <w:t>、</w:t>
      </w:r>
      <w:r>
        <w:rPr>
          <w:rFonts w:ascii="宋体" w:hAnsi="宋体" w:eastAsia="宋体" w:cs="宋体"/>
          <w:sz w:val="24"/>
          <w:szCs w:val="24"/>
        </w:rPr>
        <w:t>项目内容及需求情况（采购项目技术规格、参数及要求）</w:t>
      </w:r>
    </w:p>
    <w:p>
      <w:pPr>
        <w:keepNext w:val="0"/>
        <w:keepLines w:val="0"/>
        <w:pageBreakBefore w:val="0"/>
        <w:widowControl w:val="0"/>
        <w:kinsoku/>
        <w:wordWrap/>
        <w:overflowPunct/>
        <w:topLinePunct w:val="0"/>
        <w:autoSpaceDE/>
        <w:autoSpaceDN/>
        <w:bidi w:val="0"/>
        <w:adjustRightInd w:val="0"/>
        <w:snapToGrid w:val="0"/>
        <w:spacing w:line="360" w:lineRule="auto"/>
        <w:ind w:left="398"/>
        <w:textAlignment w:val="auto"/>
        <w:rPr>
          <w:rFonts w:ascii="宋体" w:hAnsi="宋体" w:cs="宋体"/>
          <w:spacing w:val="1"/>
          <w:sz w:val="24"/>
        </w:rPr>
      </w:pPr>
      <w:r>
        <w:rPr>
          <w:rFonts w:hint="eastAsia" w:ascii="宋体" w:hAnsi="宋体" w:cs="宋体"/>
          <w:spacing w:val="1"/>
          <w:sz w:val="24"/>
        </w:rPr>
        <w:t>采购包(</w:t>
      </w:r>
      <w:r>
        <w:rPr>
          <w:rFonts w:hint="eastAsia" w:ascii="宋体" w:hAnsi="宋体" w:cs="宋体"/>
          <w:spacing w:val="1"/>
          <w:sz w:val="24"/>
          <w:lang w:eastAsia="zh-CN"/>
        </w:rPr>
        <w:t>佛山市公安局铺设电缆</w:t>
      </w:r>
      <w:r>
        <w:rPr>
          <w:rFonts w:hint="eastAsia" w:ascii="宋体" w:hAnsi="宋体" w:cs="宋体"/>
          <w:spacing w:val="1"/>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left="398"/>
        <w:textAlignment w:val="auto"/>
      </w:pPr>
      <w:r>
        <w:rPr>
          <w:rFonts w:hint="eastAsia" w:ascii="宋体" w:hAnsi="宋体" w:cs="宋体"/>
          <w:spacing w:val="1"/>
          <w:sz w:val="24"/>
        </w:rPr>
        <w:t>采购包预算金额：</w:t>
      </w:r>
      <w:r>
        <w:rPr>
          <w:rFonts w:hint="eastAsia" w:ascii="宋体" w:hAnsi="宋体" w:eastAsia="宋体" w:cs="宋体"/>
          <w:sz w:val="24"/>
        </w:rPr>
        <w:t>￥</w:t>
      </w:r>
      <w:r>
        <w:rPr>
          <w:rFonts w:hint="eastAsia" w:ascii="宋体" w:hAnsi="宋体" w:eastAsia="宋体" w:cs="宋体"/>
          <w:sz w:val="24"/>
          <w:szCs w:val="24"/>
          <w:highlight w:val="none"/>
          <w:lang w:val="en-US" w:eastAsia="zh-CN"/>
        </w:rPr>
        <w:t>176,516.38</w:t>
      </w:r>
      <w:r>
        <w:rPr>
          <w:rFonts w:hint="eastAsia" w:ascii="宋体" w:hAnsi="宋体" w:cs="宋体"/>
          <w:spacing w:val="1"/>
          <w:sz w:val="24"/>
        </w:rPr>
        <w:t>元</w:t>
      </w:r>
    </w:p>
    <w:tbl>
      <w:tblPr>
        <w:tblStyle w:val="87"/>
        <w:tblW w:w="92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5"/>
        <w:gridCol w:w="4756"/>
        <w:gridCol w:w="1613"/>
        <w:gridCol w:w="22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65" w:type="dxa"/>
            <w:tcBorders>
              <w:top w:val="single" w:color="000000" w:sz="2" w:space="0"/>
              <w:bottom w:val="single" w:color="000000" w:sz="2" w:space="0"/>
            </w:tcBorders>
            <w:shd w:val="clear" w:color="auto" w:fill="F5F5F5"/>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b/>
                <w:bCs/>
                <w:sz w:val="24"/>
              </w:rPr>
            </w:pPr>
            <w:r>
              <w:rPr>
                <w:rFonts w:hint="eastAsia" w:ascii="宋体" w:hAnsi="宋体" w:cs="宋体"/>
                <w:b/>
                <w:bCs/>
                <w:sz w:val="24"/>
              </w:rPr>
              <w:t>序号</w:t>
            </w:r>
          </w:p>
        </w:tc>
        <w:tc>
          <w:tcPr>
            <w:tcW w:w="4756" w:type="dxa"/>
            <w:tcBorders>
              <w:top w:val="single" w:color="000000" w:sz="2" w:space="0"/>
              <w:bottom w:val="single" w:color="000000" w:sz="2" w:space="0"/>
            </w:tcBorders>
            <w:shd w:val="clear" w:color="auto" w:fill="F5F5F5"/>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b/>
                <w:bCs/>
                <w:sz w:val="24"/>
              </w:rPr>
            </w:pPr>
            <w:r>
              <w:rPr>
                <w:rFonts w:hint="eastAsia" w:ascii="宋体" w:hAnsi="宋体" w:cs="宋体"/>
                <w:b/>
                <w:bCs/>
                <w:sz w:val="24"/>
              </w:rPr>
              <w:t>采购标的</w:t>
            </w:r>
          </w:p>
        </w:tc>
        <w:tc>
          <w:tcPr>
            <w:tcW w:w="1613" w:type="dxa"/>
            <w:tcBorders>
              <w:top w:val="single" w:color="000000" w:sz="2" w:space="0"/>
              <w:bottom w:val="single" w:color="000000" w:sz="2" w:space="0"/>
            </w:tcBorders>
            <w:shd w:val="clear" w:color="auto" w:fill="F5F5F5"/>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b/>
                <w:bCs/>
                <w:sz w:val="24"/>
              </w:rPr>
            </w:pPr>
            <w:r>
              <w:rPr>
                <w:rFonts w:hint="eastAsia" w:ascii="宋体" w:hAnsi="宋体" w:cs="宋体"/>
                <w:b/>
                <w:bCs/>
                <w:sz w:val="24"/>
              </w:rPr>
              <w:t>数量(单位)</w:t>
            </w:r>
          </w:p>
        </w:tc>
        <w:tc>
          <w:tcPr>
            <w:tcW w:w="2223" w:type="dxa"/>
            <w:tcBorders>
              <w:top w:val="single" w:color="000000" w:sz="2" w:space="0"/>
              <w:bottom w:val="single" w:color="000000" w:sz="2" w:space="0"/>
            </w:tcBorders>
            <w:shd w:val="clear" w:color="auto" w:fill="F5F5F5"/>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cs="宋体"/>
                <w:b/>
                <w:bCs/>
                <w:sz w:val="24"/>
              </w:rPr>
            </w:pPr>
            <w:r>
              <w:rPr>
                <w:rFonts w:hint="eastAsia" w:ascii="宋体" w:hAnsi="宋体" w:eastAsia="宋体" w:cs="宋体"/>
                <w:b/>
                <w:bCs/>
                <w:i w:val="0"/>
                <w:iCs w:val="0"/>
                <w:caps w:val="0"/>
                <w:color w:val="000000"/>
                <w:spacing w:val="0"/>
                <w:sz w:val="24"/>
                <w:szCs w:val="24"/>
                <w:shd w:val="clear" w:fill="FFFFFF"/>
              </w:rPr>
              <w:t>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66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 w:val="24"/>
              </w:rPr>
            </w:pPr>
            <w:r>
              <w:rPr>
                <w:rFonts w:hint="eastAsia" w:ascii="宋体" w:hAnsi="宋体" w:cs="宋体"/>
                <w:spacing w:val="-10"/>
                <w:w w:val="90"/>
                <w:sz w:val="24"/>
              </w:rPr>
              <w:t>1</w:t>
            </w:r>
          </w:p>
        </w:tc>
        <w:tc>
          <w:tcPr>
            <w:tcW w:w="4756"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106"/>
              <w:jc w:val="center"/>
              <w:textAlignment w:val="auto"/>
              <w:rPr>
                <w:rFonts w:hint="eastAsia" w:ascii="宋体" w:hAnsi="宋体" w:eastAsia="宋体" w:cs="宋体"/>
                <w:sz w:val="24"/>
                <w:lang w:eastAsia="zh-CN"/>
              </w:rPr>
            </w:pPr>
            <w:r>
              <w:rPr>
                <w:rFonts w:hint="eastAsia" w:ascii="宋体" w:hAnsi="宋体" w:cs="宋体"/>
                <w:spacing w:val="1"/>
                <w:sz w:val="24"/>
                <w:lang w:eastAsia="zh-CN"/>
              </w:rPr>
              <w:t>佛山市公安局铺设电缆</w:t>
            </w:r>
          </w:p>
        </w:tc>
        <w:tc>
          <w:tcPr>
            <w:tcW w:w="161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119"/>
              <w:jc w:val="center"/>
              <w:textAlignment w:val="auto"/>
              <w:rPr>
                <w:rFonts w:ascii="宋体" w:hAnsi="宋体" w:cs="宋体"/>
                <w:sz w:val="24"/>
              </w:rPr>
            </w:pPr>
            <w:r>
              <w:rPr>
                <w:rFonts w:hint="eastAsia" w:ascii="宋体" w:hAnsi="宋体" w:cs="宋体"/>
                <w:spacing w:val="1"/>
                <w:position w:val="3"/>
                <w:sz w:val="24"/>
              </w:rPr>
              <w:t>1.0</w:t>
            </w:r>
            <w:r>
              <w:rPr>
                <w:rFonts w:hint="eastAsia" w:ascii="宋体" w:hAnsi="宋体" w:cs="宋体"/>
                <w:position w:val="3"/>
                <w:sz w:val="24"/>
              </w:rPr>
              <w:t>0(项)</w:t>
            </w:r>
          </w:p>
        </w:tc>
        <w:tc>
          <w:tcPr>
            <w:tcW w:w="222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109"/>
              <w:jc w:val="center"/>
              <w:textAlignment w:val="auto"/>
              <w:rPr>
                <w:rFonts w:hint="eastAsia" w:ascii="宋体" w:hAnsi="宋体" w:cs="宋体"/>
                <w:spacing w:val="-1"/>
                <w:sz w:val="24"/>
              </w:rPr>
            </w:pPr>
            <w:r>
              <w:rPr>
                <w:rFonts w:hint="eastAsia" w:ascii="宋体" w:hAnsi="宋体" w:eastAsia="宋体" w:cs="宋体"/>
                <w:sz w:val="24"/>
              </w:rPr>
              <w:t>￥</w:t>
            </w:r>
            <w:r>
              <w:rPr>
                <w:rFonts w:hint="eastAsia" w:ascii="宋体" w:hAnsi="宋体" w:eastAsia="宋体" w:cs="宋体"/>
                <w:sz w:val="24"/>
                <w:szCs w:val="24"/>
                <w:highlight w:val="none"/>
                <w:lang w:val="en-US" w:eastAsia="zh-CN"/>
              </w:rPr>
              <w:t>176,516.38</w:t>
            </w:r>
            <w:r>
              <w:rPr>
                <w:rFonts w:hint="eastAsia" w:ascii="宋体" w:hAnsi="宋体" w:cs="宋体"/>
                <w:spacing w:val="1"/>
                <w:sz w:val="24"/>
              </w:rPr>
              <w:t>元</w:t>
            </w:r>
          </w:p>
        </w:tc>
      </w:tr>
    </w:tbl>
    <w:p>
      <w:pPr>
        <w:keepNext w:val="0"/>
        <w:keepLines w:val="0"/>
        <w:pageBreakBefore w:val="0"/>
        <w:widowControl w:val="0"/>
        <w:kinsoku/>
        <w:wordWrap/>
        <w:overflowPunct/>
        <w:topLinePunct w:val="0"/>
        <w:autoSpaceDE/>
        <w:autoSpaceDN/>
        <w:bidi w:val="0"/>
        <w:adjustRightInd w:val="0"/>
        <w:snapToGrid w:val="0"/>
        <w:spacing w:line="400" w:lineRule="exact"/>
        <w:ind w:left="398"/>
        <w:textAlignment w:val="auto"/>
        <w:rPr>
          <w:rFonts w:ascii="宋体" w:hAnsi="宋体" w:cs="宋体"/>
          <w:spacing w:val="1"/>
          <w:sz w:val="24"/>
        </w:rPr>
      </w:pPr>
      <w:r>
        <w:rPr>
          <w:rFonts w:hint="eastAsia" w:ascii="宋体" w:hAnsi="宋体" w:cs="宋体"/>
          <w:spacing w:val="1"/>
          <w:sz w:val="24"/>
        </w:rPr>
        <w:t>本采购包不接受联合体响应。</w:t>
      </w:r>
    </w:p>
    <w:p>
      <w:pPr>
        <w:keepNext w:val="0"/>
        <w:keepLines w:val="0"/>
        <w:pageBreakBefore w:val="0"/>
        <w:widowControl w:val="0"/>
        <w:kinsoku/>
        <w:wordWrap/>
        <w:overflowPunct/>
        <w:topLinePunct w:val="0"/>
        <w:autoSpaceDE/>
        <w:autoSpaceDN/>
        <w:bidi w:val="0"/>
        <w:adjustRightInd w:val="0"/>
        <w:snapToGrid w:val="0"/>
        <w:spacing w:line="400" w:lineRule="exact"/>
        <w:ind w:left="398"/>
        <w:textAlignment w:val="auto"/>
        <w:rPr>
          <w:rFonts w:ascii="宋体" w:hAnsi="宋体" w:cs="宋体"/>
          <w:spacing w:val="1"/>
          <w:sz w:val="24"/>
          <w:highlight w:val="none"/>
        </w:rPr>
      </w:pPr>
      <w:r>
        <w:rPr>
          <w:rFonts w:hint="eastAsia" w:ascii="宋体" w:hAnsi="宋体" w:cs="宋体"/>
          <w:spacing w:val="1"/>
          <w:sz w:val="24"/>
        </w:rPr>
        <w:t>合同履行期限：</w:t>
      </w:r>
      <w:r>
        <w:rPr>
          <w:rFonts w:hint="eastAsia" w:ascii="宋体" w:hAnsi="宋体" w:cs="宋体"/>
          <w:spacing w:val="1"/>
          <w:sz w:val="24"/>
          <w:highlight w:val="none"/>
        </w:rPr>
        <w:t xml:space="preserve">自合同签订之日起 </w:t>
      </w:r>
      <w:r>
        <w:rPr>
          <w:rFonts w:hint="eastAsia" w:ascii="宋体" w:hAnsi="宋体" w:cs="宋体"/>
          <w:spacing w:val="1"/>
          <w:sz w:val="24"/>
          <w:highlight w:val="none"/>
          <w:lang w:val="en-US" w:eastAsia="zh-CN"/>
        </w:rPr>
        <w:t>2</w:t>
      </w:r>
      <w:r>
        <w:rPr>
          <w:rFonts w:hint="eastAsia" w:ascii="宋体" w:hAnsi="宋体" w:cs="宋体"/>
          <w:spacing w:val="1"/>
          <w:sz w:val="24"/>
          <w:highlight w:val="none"/>
        </w:rPr>
        <w:t>0 天</w:t>
      </w:r>
      <w:r>
        <w:rPr>
          <w:rFonts w:hint="eastAsia" w:ascii="宋体" w:hAnsi="宋体" w:cs="宋体"/>
          <w:spacing w:val="1"/>
          <w:sz w:val="24"/>
          <w:highlight w:val="none"/>
          <w:lang w:eastAsia="zh-CN"/>
        </w:rPr>
        <w:t>内完成工作并验收合格</w:t>
      </w:r>
      <w:r>
        <w:rPr>
          <w:rFonts w:hint="eastAsia" w:ascii="宋体" w:hAnsi="宋体" w:cs="宋体"/>
          <w:spacing w:val="1"/>
          <w:sz w:val="24"/>
          <w:highlight w:val="none"/>
        </w:rPr>
        <w:t>。</w:t>
      </w:r>
    </w:p>
    <w:p>
      <w:pPr>
        <w:keepNext w:val="0"/>
        <w:keepLines w:val="0"/>
        <w:pageBreakBefore w:val="0"/>
        <w:widowControl w:val="0"/>
        <w:kinsoku/>
        <w:wordWrap/>
        <w:overflowPunct/>
        <w:topLinePunct w:val="0"/>
        <w:autoSpaceDE/>
        <w:autoSpaceDN/>
        <w:bidi w:val="0"/>
        <w:adjustRightInd w:val="0"/>
        <w:snapToGrid w:val="0"/>
        <w:spacing w:line="400" w:lineRule="exact"/>
        <w:ind w:left="5"/>
        <w:textAlignment w:val="auto"/>
        <w:outlineLvl w:val="2"/>
        <w:rPr>
          <w:rFonts w:ascii="宋体" w:hAnsi="宋体" w:cs="宋体"/>
          <w:b/>
          <w:bCs/>
          <w:spacing w:val="-3"/>
          <w:sz w:val="24"/>
        </w:rPr>
      </w:pPr>
      <w:bookmarkStart w:id="45" w:name="_Toc9909"/>
      <w:bookmarkStart w:id="46" w:name="_Toc27686"/>
      <w:r>
        <w:rPr>
          <w:rFonts w:hint="eastAsia" w:ascii="宋体" w:hAnsi="宋体" w:cs="宋体"/>
          <w:b/>
          <w:bCs/>
          <w:spacing w:val="-3"/>
          <w:sz w:val="24"/>
        </w:rPr>
        <w:t>二、供应商的资格要求</w:t>
      </w:r>
      <w:bookmarkEnd w:id="45"/>
      <w:bookmarkEnd w:id="46"/>
    </w:p>
    <w:p>
      <w:pPr>
        <w:keepNext w:val="0"/>
        <w:keepLines w:val="0"/>
        <w:pageBreakBefore w:val="0"/>
        <w:widowControl w:val="0"/>
        <w:kinsoku/>
        <w:wordWrap/>
        <w:overflowPunct/>
        <w:topLinePunct w:val="0"/>
        <w:autoSpaceDE/>
        <w:autoSpaceDN/>
        <w:bidi w:val="0"/>
        <w:adjustRightInd w:val="0"/>
        <w:snapToGrid w:val="0"/>
        <w:spacing w:line="360" w:lineRule="auto"/>
        <w:ind w:left="398"/>
        <w:textAlignment w:val="auto"/>
        <w:rPr>
          <w:rFonts w:hint="eastAsia" w:ascii="宋体" w:hAnsi="宋体" w:eastAsia="宋体" w:cs="宋体"/>
          <w:spacing w:val="1"/>
          <w:sz w:val="24"/>
          <w:lang w:eastAsia="zh-CN"/>
        </w:rPr>
      </w:pPr>
      <w:r>
        <w:rPr>
          <w:rFonts w:hint="eastAsia" w:ascii="宋体" w:hAnsi="宋体" w:eastAsia="宋体" w:cs="宋体"/>
          <w:spacing w:val="1"/>
          <w:sz w:val="24"/>
          <w:lang w:eastAsia="zh-CN"/>
        </w:rPr>
        <w:t>1、供应商应具备《中华人民共和国政府采购法》第二十二条规定的条件，提供下列材料：</w:t>
      </w:r>
    </w:p>
    <w:p>
      <w:pPr>
        <w:keepNext w:val="0"/>
        <w:keepLines w:val="0"/>
        <w:pageBreakBefore w:val="0"/>
        <w:widowControl w:val="0"/>
        <w:kinsoku/>
        <w:wordWrap/>
        <w:overflowPunct/>
        <w:topLinePunct w:val="0"/>
        <w:autoSpaceDE/>
        <w:autoSpaceDN/>
        <w:bidi w:val="0"/>
        <w:adjustRightInd w:val="0"/>
        <w:snapToGrid w:val="0"/>
        <w:spacing w:line="360" w:lineRule="auto"/>
        <w:ind w:left="398"/>
        <w:textAlignment w:val="auto"/>
        <w:rPr>
          <w:rFonts w:hint="eastAsia" w:ascii="宋体" w:hAnsi="宋体" w:eastAsia="宋体" w:cs="宋体"/>
          <w:spacing w:val="1"/>
          <w:sz w:val="24"/>
          <w:lang w:val="en-US" w:eastAsia="zh-CN"/>
        </w:rPr>
      </w:pPr>
      <w:r>
        <w:rPr>
          <w:rFonts w:hint="eastAsia" w:ascii="宋体" w:hAnsi="宋体" w:eastAsia="宋体" w:cs="宋体"/>
          <w:spacing w:val="1"/>
          <w:sz w:val="24"/>
          <w:lang w:val="en-US" w:eastAsia="zh-CN"/>
        </w:rPr>
        <w:t>（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keepNext w:val="0"/>
        <w:keepLines w:val="0"/>
        <w:pageBreakBefore w:val="0"/>
        <w:widowControl w:val="0"/>
        <w:kinsoku/>
        <w:wordWrap/>
        <w:overflowPunct/>
        <w:topLinePunct w:val="0"/>
        <w:autoSpaceDE/>
        <w:autoSpaceDN/>
        <w:bidi w:val="0"/>
        <w:adjustRightInd w:val="0"/>
        <w:snapToGrid w:val="0"/>
        <w:spacing w:line="360" w:lineRule="auto"/>
        <w:ind w:left="398"/>
        <w:textAlignment w:val="auto"/>
        <w:rPr>
          <w:rFonts w:hint="eastAsia" w:ascii="宋体" w:hAnsi="宋体" w:eastAsia="宋体" w:cs="宋体"/>
          <w:spacing w:val="1"/>
          <w:sz w:val="24"/>
          <w:lang w:val="en-US" w:eastAsia="zh-CN"/>
        </w:rPr>
      </w:pPr>
      <w:r>
        <w:rPr>
          <w:rFonts w:hint="eastAsia" w:ascii="宋体" w:hAnsi="宋体" w:eastAsia="宋体" w:cs="宋体"/>
          <w:spacing w:val="1"/>
          <w:sz w:val="24"/>
          <w:lang w:val="en-US" w:eastAsia="zh-CN"/>
        </w:rPr>
        <w:t>（2）有依法缴纳税收和社会保障资金的良好记录：提供以下两种证明材料之一：1.提供《政府采购供应商资格信用承诺函》，具体要求详见响应文件格式；2.提供投标截止日前6个月内任意1个月依法缴纳税收和社会保障资金的相关材料。如依法免税或不需要缴纳社会保障资金的，提供相应证明材料。</w:t>
      </w:r>
    </w:p>
    <w:p>
      <w:pPr>
        <w:keepNext w:val="0"/>
        <w:keepLines w:val="0"/>
        <w:pageBreakBefore w:val="0"/>
        <w:widowControl w:val="0"/>
        <w:kinsoku/>
        <w:wordWrap/>
        <w:overflowPunct/>
        <w:topLinePunct w:val="0"/>
        <w:autoSpaceDE/>
        <w:autoSpaceDN/>
        <w:bidi w:val="0"/>
        <w:adjustRightInd w:val="0"/>
        <w:snapToGrid w:val="0"/>
        <w:spacing w:line="360" w:lineRule="auto"/>
        <w:ind w:left="398"/>
        <w:textAlignment w:val="auto"/>
        <w:rPr>
          <w:rFonts w:hint="eastAsia" w:ascii="宋体" w:hAnsi="宋体" w:eastAsia="宋体" w:cs="宋体"/>
          <w:spacing w:val="1"/>
          <w:sz w:val="24"/>
          <w:lang w:val="en-US" w:eastAsia="zh-CN"/>
        </w:rPr>
      </w:pPr>
      <w:r>
        <w:rPr>
          <w:rFonts w:hint="eastAsia" w:ascii="宋体" w:hAnsi="宋体" w:eastAsia="宋体" w:cs="宋体"/>
          <w:spacing w:val="1"/>
          <w:sz w:val="24"/>
          <w:lang w:val="en-US" w:eastAsia="zh-CN"/>
        </w:rPr>
        <w:t>（3）具有良好的商业信誉和健全的财务会计制度：投标人必须具有良好的商</w:t>
      </w:r>
    </w:p>
    <w:p>
      <w:pPr>
        <w:keepNext w:val="0"/>
        <w:keepLines w:val="0"/>
        <w:pageBreakBefore w:val="0"/>
        <w:widowControl w:val="0"/>
        <w:kinsoku/>
        <w:wordWrap/>
        <w:overflowPunct/>
        <w:topLinePunct w:val="0"/>
        <w:autoSpaceDE/>
        <w:autoSpaceDN/>
        <w:bidi w:val="0"/>
        <w:adjustRightInd w:val="0"/>
        <w:snapToGrid w:val="0"/>
        <w:spacing w:line="360" w:lineRule="auto"/>
        <w:ind w:left="398"/>
        <w:textAlignment w:val="auto"/>
        <w:rPr>
          <w:rFonts w:hint="eastAsia" w:ascii="宋体" w:hAnsi="宋体" w:eastAsia="宋体" w:cs="宋体"/>
          <w:spacing w:val="1"/>
          <w:sz w:val="24"/>
          <w:lang w:val="en-US" w:eastAsia="zh-CN"/>
        </w:rPr>
      </w:pPr>
      <w:r>
        <w:rPr>
          <w:rFonts w:hint="eastAsia" w:ascii="宋体" w:hAnsi="宋体" w:eastAsia="宋体" w:cs="宋体"/>
          <w:spacing w:val="1"/>
          <w:sz w:val="24"/>
          <w:lang w:val="en-US" w:eastAsia="zh-CN"/>
        </w:rPr>
        <w:t>业信誉和健全的财务会计制度（提供以下三种证明材料之一：1.提供《政府采购供应商资格信用承诺函》，具体要求详见响应文件格式；2.提供2022年度财务状况报告，财务状况报告须由第三方会计师事务所出具，能清晰显示第三方会计师事务所的印章，并能反映审计结论；3.提供投标截止日前6个月内基本开户银行出具的资信证明，并同时提交开户（基本户）许可证扫描件，开户（基本户）许可证已取消的，应提供能体现基本开户银行的“基本存款账户编号”的相关证明。）。</w:t>
      </w:r>
    </w:p>
    <w:p>
      <w:pPr>
        <w:keepNext w:val="0"/>
        <w:keepLines w:val="0"/>
        <w:pageBreakBefore w:val="0"/>
        <w:widowControl w:val="0"/>
        <w:kinsoku/>
        <w:wordWrap/>
        <w:overflowPunct/>
        <w:topLinePunct w:val="0"/>
        <w:autoSpaceDE/>
        <w:autoSpaceDN/>
        <w:bidi w:val="0"/>
        <w:adjustRightInd w:val="0"/>
        <w:snapToGrid w:val="0"/>
        <w:spacing w:line="360" w:lineRule="auto"/>
        <w:ind w:left="398"/>
        <w:textAlignment w:val="auto"/>
        <w:rPr>
          <w:rFonts w:hint="eastAsia" w:ascii="宋体" w:hAnsi="宋体" w:eastAsia="宋体" w:cs="宋体"/>
          <w:spacing w:val="1"/>
          <w:sz w:val="24"/>
          <w:lang w:val="en-US" w:eastAsia="zh-CN"/>
        </w:rPr>
      </w:pPr>
      <w:r>
        <w:rPr>
          <w:rFonts w:hint="eastAsia" w:ascii="宋体" w:hAnsi="宋体" w:eastAsia="宋体" w:cs="宋体"/>
          <w:spacing w:val="1"/>
          <w:sz w:val="24"/>
          <w:lang w:val="en-US" w:eastAsia="zh-CN"/>
        </w:rPr>
        <w:t>（4）履行合同所必需的设备和专业技术能力：提供《响应承诺函》，具体要求详见响应文件格式。</w:t>
      </w:r>
    </w:p>
    <w:p>
      <w:pPr>
        <w:keepNext w:val="0"/>
        <w:keepLines w:val="0"/>
        <w:pageBreakBefore w:val="0"/>
        <w:widowControl w:val="0"/>
        <w:kinsoku/>
        <w:wordWrap/>
        <w:overflowPunct/>
        <w:topLinePunct w:val="0"/>
        <w:autoSpaceDE/>
        <w:autoSpaceDN/>
        <w:bidi w:val="0"/>
        <w:adjustRightInd w:val="0"/>
        <w:snapToGrid w:val="0"/>
        <w:spacing w:line="360" w:lineRule="auto"/>
        <w:ind w:left="398"/>
        <w:textAlignment w:val="auto"/>
        <w:rPr>
          <w:rFonts w:hint="eastAsia" w:ascii="宋体" w:hAnsi="宋体" w:eastAsia="宋体" w:cs="宋体"/>
          <w:spacing w:val="1"/>
          <w:sz w:val="24"/>
          <w:lang w:val="en-US" w:eastAsia="zh-CN"/>
        </w:rPr>
      </w:pPr>
      <w:r>
        <w:rPr>
          <w:rFonts w:hint="eastAsia" w:ascii="宋体" w:hAnsi="宋体" w:eastAsia="宋体" w:cs="宋体"/>
          <w:spacing w:val="1"/>
          <w:sz w:val="24"/>
          <w:lang w:val="en-US" w:eastAsia="zh-CN"/>
        </w:rPr>
        <w:t>（5）参加采购活动前3年内，在经营活动中没有重大违法记录：提供《响应承诺函》，具体要求详见响应文件格式。重大违法记录，是指投标人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keepNext w:val="0"/>
        <w:keepLines w:val="0"/>
        <w:pageBreakBefore w:val="0"/>
        <w:widowControl w:val="0"/>
        <w:kinsoku/>
        <w:wordWrap/>
        <w:overflowPunct/>
        <w:topLinePunct w:val="0"/>
        <w:autoSpaceDE/>
        <w:autoSpaceDN/>
        <w:bidi w:val="0"/>
        <w:adjustRightInd w:val="0"/>
        <w:snapToGrid w:val="0"/>
        <w:spacing w:line="360" w:lineRule="auto"/>
        <w:ind w:left="398"/>
        <w:textAlignment w:val="auto"/>
        <w:rPr>
          <w:rFonts w:hint="eastAsia" w:ascii="宋体" w:hAnsi="宋体" w:eastAsia="宋体" w:cs="宋体"/>
          <w:spacing w:val="1"/>
          <w:sz w:val="24"/>
          <w:lang w:eastAsia="zh-CN"/>
        </w:rPr>
      </w:pPr>
      <w:r>
        <w:rPr>
          <w:rFonts w:hint="eastAsia" w:ascii="宋体" w:hAnsi="宋体" w:eastAsia="宋体" w:cs="宋体"/>
          <w:spacing w:val="1"/>
          <w:sz w:val="24"/>
          <w:lang w:val="en-US" w:eastAsia="zh-CN"/>
        </w:rPr>
        <w:t>2、</w:t>
      </w:r>
      <w:r>
        <w:rPr>
          <w:rFonts w:hint="eastAsia" w:ascii="宋体" w:hAnsi="宋体" w:eastAsia="宋体" w:cs="宋体"/>
          <w:spacing w:val="1"/>
          <w:sz w:val="24"/>
          <w:lang w:eastAsia="zh-CN"/>
        </w:rPr>
        <w:t>落实政府采购政策需满足的资格要求：</w:t>
      </w:r>
    </w:p>
    <w:p>
      <w:pPr>
        <w:keepNext w:val="0"/>
        <w:keepLines w:val="0"/>
        <w:pageBreakBefore w:val="0"/>
        <w:widowControl w:val="0"/>
        <w:kinsoku/>
        <w:wordWrap/>
        <w:overflowPunct/>
        <w:topLinePunct w:val="0"/>
        <w:autoSpaceDE/>
        <w:autoSpaceDN/>
        <w:bidi w:val="0"/>
        <w:adjustRightInd w:val="0"/>
        <w:snapToGrid w:val="0"/>
        <w:spacing w:line="400" w:lineRule="exact"/>
        <w:ind w:left="398"/>
        <w:textAlignment w:val="auto"/>
        <w:rPr>
          <w:rFonts w:hint="default" w:ascii="宋体" w:hAnsi="宋体" w:cs="宋体"/>
          <w:spacing w:val="1"/>
          <w:sz w:val="24"/>
          <w:highlight w:val="none"/>
          <w:lang w:val="en-US" w:eastAsia="zh-CN"/>
        </w:rPr>
      </w:pPr>
      <w:r>
        <w:rPr>
          <w:rFonts w:hint="default" w:ascii="宋体" w:hAnsi="宋体" w:cs="宋体"/>
          <w:spacing w:val="1"/>
          <w:sz w:val="24"/>
          <w:highlight w:val="none"/>
          <w:lang w:val="en-US" w:eastAsia="zh-CN"/>
        </w:rPr>
        <w:t>采购包(</w:t>
      </w:r>
      <w:r>
        <w:rPr>
          <w:rFonts w:hint="eastAsia" w:ascii="宋体" w:hAnsi="宋体" w:cs="宋体"/>
          <w:spacing w:val="1"/>
          <w:sz w:val="24"/>
          <w:highlight w:val="none"/>
          <w:lang w:val="en-US" w:eastAsia="zh-CN"/>
        </w:rPr>
        <w:t>佛山市公安局铺设电缆</w:t>
      </w:r>
      <w:r>
        <w:rPr>
          <w:rFonts w:hint="default" w:ascii="宋体" w:hAnsi="宋体" w:cs="宋体"/>
          <w:spacing w:val="1"/>
          <w:sz w:val="24"/>
          <w:highlight w:val="none"/>
          <w:lang w:val="en-US" w:eastAsia="zh-CN"/>
        </w:rPr>
        <w:t>)：采购包整体专门面向中小企业,</w:t>
      </w:r>
      <w:r>
        <w:rPr>
          <w:rFonts w:hint="eastAsia" w:ascii="宋体" w:hAnsi="宋体" w:cs="宋体"/>
          <w:spacing w:val="1"/>
          <w:sz w:val="24"/>
          <w:highlight w:val="none"/>
          <w:lang w:val="en-US" w:eastAsia="zh-CN"/>
        </w:rPr>
        <w:t>承接工程</w:t>
      </w:r>
      <w:r>
        <w:rPr>
          <w:rFonts w:hint="default" w:ascii="宋体" w:hAnsi="宋体" w:cs="宋体"/>
          <w:spacing w:val="1"/>
          <w:sz w:val="24"/>
          <w:highlight w:val="none"/>
          <w:lang w:val="en-US" w:eastAsia="zh-CN"/>
        </w:rPr>
        <w:t>的单位应为中小微企业、监狱企业</w:t>
      </w:r>
      <w:r>
        <w:rPr>
          <w:rFonts w:hint="eastAsia" w:ascii="宋体" w:hAnsi="宋体" w:cs="宋体"/>
          <w:spacing w:val="1"/>
          <w:sz w:val="24"/>
          <w:highlight w:val="none"/>
          <w:lang w:val="en-US" w:eastAsia="zh-CN"/>
        </w:rPr>
        <w:t>或</w:t>
      </w:r>
      <w:r>
        <w:rPr>
          <w:rFonts w:hint="default" w:ascii="宋体" w:hAnsi="宋体" w:cs="宋体"/>
          <w:spacing w:val="1"/>
          <w:sz w:val="24"/>
          <w:highlight w:val="none"/>
          <w:lang w:val="en-US" w:eastAsia="zh-CN"/>
        </w:rPr>
        <w:t>残疾人福利性单位。</w:t>
      </w:r>
      <w:r>
        <w:rPr>
          <w:rFonts w:hint="default" w:ascii="宋体" w:hAnsi="宋体" w:cs="宋体"/>
          <w:b/>
          <w:bCs/>
          <w:spacing w:val="1"/>
          <w:sz w:val="24"/>
          <w:highlight w:val="none"/>
          <w:lang w:val="en-US" w:eastAsia="zh-CN"/>
        </w:rPr>
        <w:t>本项目的企业划分标准所属行业为：</w:t>
      </w:r>
      <w:r>
        <w:rPr>
          <w:rFonts w:hint="eastAsia" w:ascii="宋体" w:hAnsi="宋体" w:cs="宋体"/>
          <w:b/>
          <w:bCs/>
          <w:spacing w:val="1"/>
          <w:sz w:val="24"/>
          <w:highlight w:val="none"/>
          <w:lang w:val="en-US" w:eastAsia="zh-CN"/>
        </w:rPr>
        <w:t>建筑业</w:t>
      </w:r>
      <w:r>
        <w:rPr>
          <w:rFonts w:hint="default" w:ascii="宋体" w:hAnsi="宋体" w:cs="宋体"/>
          <w:b/>
          <w:bCs/>
          <w:spacing w:val="1"/>
          <w:sz w:val="24"/>
          <w:highlight w:val="none"/>
          <w:lang w:val="en-US" w:eastAsia="zh-CN"/>
        </w:rPr>
        <w:t>。</w:t>
      </w:r>
      <w:r>
        <w:rPr>
          <w:rFonts w:hint="default" w:ascii="宋体" w:hAnsi="宋体" w:cs="宋体"/>
          <w:b w:val="0"/>
          <w:bCs w:val="0"/>
          <w:spacing w:val="1"/>
          <w:sz w:val="24"/>
          <w:highlight w:val="none"/>
          <w:lang w:val="en-US" w:eastAsia="zh-CN"/>
        </w:rPr>
        <w:t>【提供《中小企业声明函》或属于监狱企业的证明材料或《残疾人福利性单位声明函》】</w:t>
      </w:r>
    </w:p>
    <w:p>
      <w:pPr>
        <w:keepNext w:val="0"/>
        <w:keepLines w:val="0"/>
        <w:pageBreakBefore w:val="0"/>
        <w:widowControl w:val="0"/>
        <w:kinsoku/>
        <w:wordWrap/>
        <w:overflowPunct/>
        <w:topLinePunct w:val="0"/>
        <w:autoSpaceDE/>
        <w:autoSpaceDN/>
        <w:bidi w:val="0"/>
        <w:adjustRightInd w:val="0"/>
        <w:snapToGrid w:val="0"/>
        <w:spacing w:line="400" w:lineRule="exact"/>
        <w:ind w:left="398"/>
        <w:textAlignment w:val="auto"/>
        <w:rPr>
          <w:rFonts w:ascii="宋体" w:hAnsi="宋体" w:cs="宋体"/>
          <w:spacing w:val="1"/>
          <w:sz w:val="24"/>
        </w:rPr>
      </w:pPr>
      <w:r>
        <w:rPr>
          <w:rFonts w:hint="eastAsia" w:ascii="宋体" w:hAnsi="宋体" w:cs="宋体"/>
          <w:spacing w:val="1"/>
          <w:sz w:val="24"/>
          <w:lang w:val="en-US" w:eastAsia="zh-CN"/>
        </w:rPr>
        <w:t>3</w:t>
      </w:r>
      <w:r>
        <w:rPr>
          <w:rFonts w:hint="eastAsia" w:ascii="宋体" w:hAnsi="宋体" w:cs="宋体"/>
          <w:spacing w:val="1"/>
          <w:sz w:val="24"/>
          <w:lang w:eastAsia="zh-CN"/>
        </w:rPr>
        <w:t>、</w:t>
      </w:r>
      <w:r>
        <w:rPr>
          <w:rFonts w:hint="eastAsia" w:ascii="宋体" w:hAnsi="宋体" w:cs="宋体"/>
          <w:spacing w:val="1"/>
          <w:sz w:val="24"/>
        </w:rPr>
        <w:t>本项目特定的资格要求：</w:t>
      </w:r>
    </w:p>
    <w:p>
      <w:pPr>
        <w:keepNext w:val="0"/>
        <w:keepLines w:val="0"/>
        <w:pageBreakBefore w:val="0"/>
        <w:widowControl w:val="0"/>
        <w:kinsoku/>
        <w:wordWrap/>
        <w:overflowPunct/>
        <w:topLinePunct w:val="0"/>
        <w:autoSpaceDE/>
        <w:autoSpaceDN/>
        <w:bidi w:val="0"/>
        <w:adjustRightInd w:val="0"/>
        <w:snapToGrid w:val="0"/>
        <w:spacing w:line="400" w:lineRule="exact"/>
        <w:ind w:left="398"/>
        <w:textAlignment w:val="auto"/>
        <w:rPr>
          <w:rFonts w:hint="eastAsia" w:ascii="宋体" w:hAnsi="宋体" w:eastAsia="宋体" w:cs="宋体"/>
          <w:i w:val="0"/>
          <w:iCs w:val="0"/>
          <w:caps w:val="0"/>
          <w:color w:val="000000"/>
          <w:spacing w:val="0"/>
          <w:sz w:val="24"/>
          <w:szCs w:val="24"/>
          <w:shd w:val="clear" w:fill="FFFFFF"/>
          <w:lang w:eastAsia="zh-CN"/>
        </w:rPr>
      </w:pP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cs="宋体"/>
          <w:i w:val="0"/>
          <w:iCs w:val="0"/>
          <w:caps w:val="0"/>
          <w:color w:val="000000"/>
          <w:spacing w:val="0"/>
          <w:sz w:val="24"/>
          <w:szCs w:val="24"/>
          <w:shd w:val="clear" w:fill="FFFFFF"/>
          <w:lang w:val="en-US" w:eastAsia="zh-CN"/>
        </w:rPr>
        <w:t>1</w:t>
      </w:r>
      <w:r>
        <w:rPr>
          <w:rFonts w:hint="eastAsia" w:ascii="宋体" w:hAnsi="宋体" w:eastAsia="宋体" w:cs="宋体"/>
          <w:i w:val="0"/>
          <w:iCs w:val="0"/>
          <w:caps w:val="0"/>
          <w:color w:val="000000"/>
          <w:spacing w:val="0"/>
          <w:sz w:val="24"/>
          <w:szCs w:val="24"/>
          <w:shd w:val="clear" w:fill="FFFFFF"/>
          <w:lang w:eastAsia="zh-CN"/>
        </w:rPr>
        <w:t>）供应商未被列入“信用中国”网站(www.creditchina.gov.cn)“记录失信被执行人或重大税收违法</w:t>
      </w:r>
      <w:r>
        <w:rPr>
          <w:rFonts w:hint="eastAsia" w:ascii="宋体" w:hAnsi="宋体" w:cs="宋体"/>
          <w:i w:val="0"/>
          <w:iCs w:val="0"/>
          <w:caps w:val="0"/>
          <w:color w:val="000000"/>
          <w:spacing w:val="0"/>
          <w:sz w:val="24"/>
          <w:szCs w:val="24"/>
          <w:shd w:val="clear" w:fill="FFFFFF"/>
          <w:lang w:eastAsia="zh-CN"/>
        </w:rPr>
        <w:t>失信主体</w:t>
      </w:r>
      <w:r>
        <w:rPr>
          <w:rFonts w:hint="eastAsia" w:ascii="宋体" w:hAnsi="宋体" w:eastAsia="宋体" w:cs="宋体"/>
          <w:i w:val="0"/>
          <w:iCs w:val="0"/>
          <w:caps w:val="0"/>
          <w:color w:val="000000"/>
          <w:spacing w:val="0"/>
          <w:sz w:val="24"/>
          <w:szCs w:val="24"/>
          <w:shd w:val="clear" w:fill="FFFFFF"/>
          <w:lang w:eastAsia="zh-CN"/>
        </w:rPr>
        <w:t>或政府采购严重违法失信行为”记录名单；不处于中国政府采购网(www.ccgp.gov.cn)“政府采购严重违法失信行为信息记录”中的禁止参加政府采购活动期间</w:t>
      </w:r>
      <w:r>
        <w:rPr>
          <w:rFonts w:hint="eastAsia" w:ascii="宋体" w:hAnsi="宋体" w:eastAsia="宋体" w:cs="宋体"/>
          <w:i w:val="0"/>
          <w:iCs w:val="0"/>
          <w:caps w:val="0"/>
          <w:color w:val="000000"/>
          <w:spacing w:val="0"/>
          <w:sz w:val="24"/>
          <w:szCs w:val="24"/>
          <w:shd w:val="clear" w:fill="FFFFFF"/>
          <w:lang w:val="en-US" w:eastAsia="zh-CN"/>
        </w:rPr>
        <w:t>【以采购代理机构于投标（响应）截止时间当天在“信用中国”网站（www.creditchina.gov.cn）及中国政府采购网（http://www.ccgp.gov.cn/）查询结果为准，如相关失信记录已失效，供应商需提供相关证明资料。】</w:t>
      </w:r>
    </w:p>
    <w:p>
      <w:pPr>
        <w:keepNext w:val="0"/>
        <w:keepLines w:val="0"/>
        <w:pageBreakBefore w:val="0"/>
        <w:widowControl w:val="0"/>
        <w:kinsoku/>
        <w:wordWrap/>
        <w:overflowPunct/>
        <w:topLinePunct w:val="0"/>
        <w:autoSpaceDE/>
        <w:autoSpaceDN/>
        <w:bidi w:val="0"/>
        <w:adjustRightInd w:val="0"/>
        <w:snapToGrid w:val="0"/>
        <w:spacing w:line="400" w:lineRule="exact"/>
        <w:ind w:left="398"/>
        <w:textAlignment w:val="auto"/>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cs="宋体"/>
          <w:i w:val="0"/>
          <w:iCs w:val="0"/>
          <w:caps w:val="0"/>
          <w:color w:val="000000"/>
          <w:spacing w:val="0"/>
          <w:sz w:val="24"/>
          <w:szCs w:val="24"/>
          <w:shd w:val="clear" w:fill="FFFFFF"/>
          <w:lang w:val="en-US" w:eastAsia="zh-CN"/>
        </w:rPr>
        <w:t>2</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lang w:val="en-US" w:eastAsia="zh-CN"/>
        </w:rPr>
        <w:t>单位负责人为同一人或者存在直接控股、管理关系的不同供应商，不得同时参加本采购项目投标（响应）</w:t>
      </w:r>
      <w:r>
        <w:rPr>
          <w:rFonts w:hint="eastAsia" w:ascii="宋体" w:hAnsi="宋体" w:cs="宋体"/>
          <w:i w:val="0"/>
          <w:iCs w:val="0"/>
          <w:caps w:val="0"/>
          <w:color w:val="000000"/>
          <w:spacing w:val="0"/>
          <w:sz w:val="24"/>
          <w:szCs w:val="24"/>
          <w:shd w:val="clear" w:fill="FFFFFF"/>
          <w:lang w:val="en-US" w:eastAsia="zh-CN"/>
        </w:rPr>
        <w:t>。为本项目提供整体设计、规范编制或者项目管理、监理、检测等服务的供应商，不得再参与本项目投标（响应）。</w:t>
      </w:r>
      <w:r>
        <w:rPr>
          <w:rFonts w:hint="eastAsia" w:ascii="宋体" w:hAnsi="宋体" w:eastAsia="宋体" w:cs="宋体"/>
          <w:i w:val="0"/>
          <w:iCs w:val="0"/>
          <w:caps w:val="0"/>
          <w:color w:val="000000"/>
          <w:spacing w:val="0"/>
          <w:sz w:val="24"/>
          <w:szCs w:val="24"/>
          <w:shd w:val="clear" w:fill="FFFFFF"/>
          <w:lang w:val="en-US" w:eastAsia="zh-CN"/>
        </w:rPr>
        <w:t>【政府采购供应商资格信用承诺函】</w:t>
      </w:r>
    </w:p>
    <w:p>
      <w:pPr>
        <w:keepNext w:val="0"/>
        <w:keepLines w:val="0"/>
        <w:pageBreakBefore w:val="0"/>
        <w:widowControl w:val="0"/>
        <w:kinsoku/>
        <w:wordWrap/>
        <w:overflowPunct/>
        <w:topLinePunct w:val="0"/>
        <w:autoSpaceDE/>
        <w:autoSpaceDN/>
        <w:bidi w:val="0"/>
        <w:adjustRightInd w:val="0"/>
        <w:snapToGrid w:val="0"/>
        <w:spacing w:line="400" w:lineRule="exact"/>
        <w:ind w:left="398"/>
        <w:textAlignment w:val="auto"/>
        <w:rPr>
          <w:rFonts w:hint="eastAsia" w:ascii="宋体" w:hAnsi="宋体" w:eastAsia="宋体" w:cs="宋体"/>
          <w:i w:val="0"/>
          <w:iCs w:val="0"/>
          <w:caps w:val="0"/>
          <w:color w:val="000000"/>
          <w:spacing w:val="0"/>
          <w:sz w:val="24"/>
          <w:szCs w:val="24"/>
          <w:shd w:val="clear" w:fill="FFFFFF"/>
          <w:lang w:eastAsia="zh-CN"/>
        </w:rPr>
      </w:pPr>
      <w:r>
        <w:rPr>
          <w:rFonts w:hint="eastAsia" w:ascii="宋体" w:hAnsi="宋体" w:eastAsia="宋体" w:cs="宋体"/>
          <w:i w:val="0"/>
          <w:iCs w:val="0"/>
          <w:caps w:val="0"/>
          <w:color w:val="000000"/>
          <w:spacing w:val="0"/>
          <w:sz w:val="24"/>
          <w:szCs w:val="24"/>
          <w:shd w:val="clear" w:fill="FFFFFF"/>
          <w:lang w:val="en-US" w:eastAsia="zh-CN"/>
        </w:rPr>
        <w:t>（</w:t>
      </w:r>
      <w:r>
        <w:rPr>
          <w:rFonts w:hint="eastAsia" w:ascii="宋体" w:hAnsi="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lang w:val="en-US" w:eastAsia="zh-CN"/>
        </w:rPr>
        <w:t>）</w:t>
      </w:r>
      <w:r>
        <w:rPr>
          <w:rFonts w:hint="eastAsia" w:ascii="宋体" w:hAnsi="宋体" w:eastAsia="宋体" w:cs="宋体"/>
          <w:i w:val="0"/>
          <w:iCs w:val="0"/>
          <w:caps w:val="0"/>
          <w:color w:val="000000"/>
          <w:spacing w:val="0"/>
          <w:sz w:val="24"/>
          <w:szCs w:val="24"/>
          <w:shd w:val="clear" w:fill="FFFFFF"/>
          <w:lang w:eastAsia="zh-CN"/>
        </w:rPr>
        <w:t>本项目不接受联合体磋商。</w:t>
      </w:r>
    </w:p>
    <w:p>
      <w:pPr>
        <w:keepNext w:val="0"/>
        <w:keepLines w:val="0"/>
        <w:pageBreakBefore w:val="0"/>
        <w:widowControl w:val="0"/>
        <w:kinsoku/>
        <w:wordWrap/>
        <w:overflowPunct/>
        <w:topLinePunct w:val="0"/>
        <w:autoSpaceDE/>
        <w:autoSpaceDN/>
        <w:bidi w:val="0"/>
        <w:adjustRightInd w:val="0"/>
        <w:snapToGrid w:val="0"/>
        <w:spacing w:line="360" w:lineRule="auto"/>
        <w:ind w:left="5"/>
        <w:textAlignment w:val="auto"/>
        <w:outlineLvl w:val="2"/>
        <w:rPr>
          <w:rFonts w:ascii="宋体" w:hAnsi="宋体" w:cs="宋体"/>
          <w:b/>
          <w:bCs/>
          <w:sz w:val="24"/>
        </w:rPr>
      </w:pPr>
      <w:bookmarkStart w:id="47" w:name="_Toc30892"/>
      <w:bookmarkStart w:id="48" w:name="_Toc16413"/>
      <w:r>
        <w:rPr>
          <w:rFonts w:hint="eastAsia" w:ascii="宋体" w:hAnsi="宋体" w:cs="宋体"/>
          <w:b/>
          <w:bCs/>
          <w:spacing w:val="-3"/>
          <w:sz w:val="24"/>
        </w:rPr>
        <w:t>三、获取磋商</w:t>
      </w:r>
      <w:r>
        <w:rPr>
          <w:rFonts w:hint="eastAsia" w:ascii="宋体" w:hAnsi="宋体" w:cs="宋体"/>
          <w:b/>
          <w:bCs/>
          <w:spacing w:val="1"/>
          <w:sz w:val="24"/>
        </w:rPr>
        <w:t>文件</w:t>
      </w:r>
      <w:bookmarkEnd w:id="47"/>
      <w:bookmarkEnd w:id="48"/>
    </w:p>
    <w:p>
      <w:pPr>
        <w:keepNext w:val="0"/>
        <w:keepLines w:val="0"/>
        <w:pageBreakBefore w:val="0"/>
        <w:widowControl w:val="0"/>
        <w:kinsoku/>
        <w:wordWrap/>
        <w:overflowPunct/>
        <w:topLinePunct w:val="0"/>
        <w:autoSpaceDE/>
        <w:autoSpaceDN/>
        <w:bidi w:val="0"/>
        <w:adjustRightInd w:val="0"/>
        <w:snapToGrid w:val="0"/>
        <w:spacing w:line="360" w:lineRule="auto"/>
        <w:ind w:left="398"/>
        <w:textAlignment w:val="auto"/>
        <w:rPr>
          <w:rFonts w:hint="eastAsia" w:ascii="宋体" w:hAnsi="宋体" w:eastAsia="宋体" w:cs="宋体"/>
          <w:sz w:val="24"/>
          <w:lang w:eastAsia="zh-CN"/>
        </w:rPr>
      </w:pPr>
      <w:r>
        <w:rPr>
          <w:rFonts w:hint="eastAsia" w:ascii="宋体" w:hAnsi="宋体" w:cs="宋体"/>
          <w:spacing w:val="1"/>
          <w:sz w:val="24"/>
        </w:rPr>
        <w:t>时间：202</w:t>
      </w:r>
      <w:r>
        <w:rPr>
          <w:rFonts w:hint="eastAsia" w:ascii="宋体" w:hAnsi="宋体" w:cs="宋体"/>
          <w:spacing w:val="1"/>
          <w:sz w:val="24"/>
          <w:lang w:val="en-US" w:eastAsia="zh-CN"/>
        </w:rPr>
        <w:t>4</w:t>
      </w:r>
      <w:r>
        <w:rPr>
          <w:rFonts w:hint="eastAsia" w:ascii="宋体" w:hAnsi="宋体" w:cs="宋体"/>
          <w:spacing w:val="1"/>
          <w:sz w:val="24"/>
        </w:rPr>
        <w:t>年</w:t>
      </w:r>
      <w:r>
        <w:rPr>
          <w:rFonts w:hint="eastAsia" w:ascii="宋体" w:hAnsi="宋体" w:cs="宋体"/>
          <w:spacing w:val="1"/>
          <w:sz w:val="24"/>
          <w:lang w:val="en-US" w:eastAsia="zh-CN"/>
        </w:rPr>
        <w:t xml:space="preserve"> 4 </w:t>
      </w:r>
      <w:r>
        <w:rPr>
          <w:rFonts w:hint="eastAsia" w:ascii="宋体" w:hAnsi="宋体" w:cs="宋体"/>
          <w:spacing w:val="1"/>
          <w:sz w:val="24"/>
        </w:rPr>
        <w:t>月</w:t>
      </w:r>
      <w:r>
        <w:rPr>
          <w:rFonts w:hint="eastAsia" w:ascii="宋体" w:hAnsi="宋体" w:cs="宋体"/>
          <w:spacing w:val="1"/>
          <w:sz w:val="24"/>
          <w:lang w:val="en-US" w:eastAsia="zh-CN"/>
        </w:rPr>
        <w:t xml:space="preserve"> 24 </w:t>
      </w:r>
      <w:r>
        <w:rPr>
          <w:rFonts w:hint="eastAsia" w:ascii="宋体" w:hAnsi="宋体" w:cs="宋体"/>
          <w:spacing w:val="1"/>
          <w:sz w:val="24"/>
        </w:rPr>
        <w:t>日至202</w:t>
      </w:r>
      <w:r>
        <w:rPr>
          <w:rFonts w:hint="eastAsia" w:ascii="宋体" w:hAnsi="宋体" w:cs="宋体"/>
          <w:spacing w:val="1"/>
          <w:sz w:val="24"/>
          <w:lang w:val="en-US" w:eastAsia="zh-CN"/>
        </w:rPr>
        <w:t>4</w:t>
      </w:r>
      <w:r>
        <w:rPr>
          <w:rFonts w:hint="eastAsia" w:ascii="宋体" w:hAnsi="宋体" w:cs="宋体"/>
          <w:spacing w:val="1"/>
          <w:sz w:val="24"/>
        </w:rPr>
        <w:t>年</w:t>
      </w:r>
      <w:r>
        <w:rPr>
          <w:rFonts w:hint="eastAsia" w:ascii="宋体" w:hAnsi="宋体" w:cs="宋体"/>
          <w:spacing w:val="1"/>
          <w:sz w:val="24"/>
          <w:lang w:val="en-US" w:eastAsia="zh-CN"/>
        </w:rPr>
        <w:t xml:space="preserve"> 4 </w:t>
      </w:r>
      <w:r>
        <w:rPr>
          <w:rFonts w:hint="eastAsia" w:ascii="宋体" w:hAnsi="宋体" w:cs="宋体"/>
          <w:spacing w:val="1"/>
          <w:sz w:val="24"/>
        </w:rPr>
        <w:t>月</w:t>
      </w:r>
      <w:r>
        <w:rPr>
          <w:rFonts w:hint="eastAsia" w:ascii="宋体" w:hAnsi="宋体" w:cs="宋体"/>
          <w:spacing w:val="1"/>
          <w:sz w:val="24"/>
          <w:lang w:val="en-US" w:eastAsia="zh-CN"/>
        </w:rPr>
        <w:t xml:space="preserve"> 29 </w:t>
      </w:r>
      <w:r>
        <w:rPr>
          <w:rFonts w:hint="eastAsia" w:ascii="宋体" w:hAnsi="宋体" w:cs="宋体"/>
          <w:spacing w:val="1"/>
          <w:sz w:val="24"/>
        </w:rPr>
        <w:t>日</w:t>
      </w:r>
      <w:r>
        <w:rPr>
          <w:rFonts w:hint="eastAsia" w:ascii="宋体" w:hAnsi="宋体" w:cs="宋体"/>
          <w:spacing w:val="1"/>
          <w:sz w:val="24"/>
          <w:lang w:eastAsia="zh-CN"/>
        </w:rPr>
        <w:t>，每天</w:t>
      </w:r>
      <w:r>
        <w:rPr>
          <w:rFonts w:hint="eastAsia" w:ascii="宋体" w:hAnsi="宋体" w:cs="宋体"/>
          <w:spacing w:val="1"/>
          <w:sz w:val="24"/>
        </w:rPr>
        <w:t>上午08：30</w:t>
      </w:r>
      <w:r>
        <w:rPr>
          <w:rFonts w:hint="eastAsia" w:ascii="宋体" w:hAnsi="宋体" w:cs="宋体"/>
          <w:spacing w:val="1"/>
          <w:sz w:val="24"/>
          <w:lang w:eastAsia="zh-CN"/>
        </w:rPr>
        <w:t>至</w:t>
      </w:r>
      <w:r>
        <w:rPr>
          <w:rFonts w:hint="eastAsia" w:ascii="宋体" w:hAnsi="宋体" w:cs="宋体"/>
          <w:spacing w:val="1"/>
          <w:sz w:val="24"/>
        </w:rPr>
        <w:t>12：00</w:t>
      </w:r>
      <w:r>
        <w:rPr>
          <w:rFonts w:hint="eastAsia" w:ascii="宋体" w:hAnsi="宋体" w:cs="宋体"/>
          <w:spacing w:val="1"/>
          <w:sz w:val="24"/>
          <w:lang w:eastAsia="zh-CN"/>
        </w:rPr>
        <w:t>，</w:t>
      </w:r>
      <w:r>
        <w:rPr>
          <w:rFonts w:hint="eastAsia" w:ascii="宋体" w:hAnsi="宋体" w:cs="宋体"/>
          <w:spacing w:val="1"/>
          <w:sz w:val="24"/>
        </w:rPr>
        <w:t>下午</w:t>
      </w:r>
      <w:r>
        <w:rPr>
          <w:rFonts w:hint="eastAsia" w:ascii="宋体" w:hAnsi="宋体" w:cs="宋体"/>
          <w:spacing w:val="1"/>
          <w:sz w:val="24"/>
          <w:lang w:val="en-US" w:eastAsia="zh-CN"/>
        </w:rPr>
        <w:t>14</w:t>
      </w:r>
      <w:r>
        <w:rPr>
          <w:rFonts w:hint="eastAsia" w:ascii="宋体" w:hAnsi="宋体" w:cs="宋体"/>
          <w:spacing w:val="1"/>
          <w:sz w:val="24"/>
        </w:rPr>
        <w:t>：00</w:t>
      </w:r>
      <w:r>
        <w:rPr>
          <w:rFonts w:hint="eastAsia" w:ascii="宋体" w:hAnsi="宋体" w:cs="宋体"/>
          <w:spacing w:val="1"/>
          <w:sz w:val="24"/>
          <w:lang w:eastAsia="zh-CN"/>
        </w:rPr>
        <w:t>至</w:t>
      </w:r>
      <w:r>
        <w:rPr>
          <w:rFonts w:hint="eastAsia" w:ascii="宋体" w:hAnsi="宋体" w:cs="宋体"/>
          <w:spacing w:val="1"/>
          <w:sz w:val="24"/>
          <w:lang w:val="en-US" w:eastAsia="zh-CN"/>
        </w:rPr>
        <w:t>17</w:t>
      </w:r>
      <w:r>
        <w:rPr>
          <w:rFonts w:hint="eastAsia" w:ascii="宋体" w:hAnsi="宋体" w:cs="宋体"/>
          <w:spacing w:val="1"/>
          <w:sz w:val="24"/>
        </w:rPr>
        <w:t>：30（北京时间,法定节假日除外）</w:t>
      </w:r>
      <w:r>
        <w:rPr>
          <w:rFonts w:hint="eastAsia" w:ascii="宋体" w:hAnsi="宋体" w:cs="宋体"/>
          <w:spacing w:val="1"/>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389"/>
        <w:textAlignment w:val="auto"/>
        <w:rPr>
          <w:rFonts w:ascii="宋体" w:hAnsi="宋体" w:cs="宋体"/>
          <w:sz w:val="24"/>
        </w:rPr>
      </w:pPr>
      <w:r>
        <w:rPr>
          <w:rFonts w:hint="eastAsia" w:ascii="宋体" w:hAnsi="宋体" w:cs="宋体"/>
          <w:spacing w:val="2"/>
          <w:sz w:val="24"/>
        </w:rPr>
        <w:t>地点：</w:t>
      </w:r>
      <w:r>
        <w:rPr>
          <w:rFonts w:hint="eastAsia" w:ascii="宋体" w:hAnsi="宋体" w:cs="宋体"/>
          <w:sz w:val="24"/>
        </w:rPr>
        <w:t>佛山市禅城区季华五路10号金融广场大厦17层A区（广东远东招标代理有限公司）</w:t>
      </w:r>
    </w:p>
    <w:p>
      <w:pPr>
        <w:keepNext w:val="0"/>
        <w:keepLines w:val="0"/>
        <w:pageBreakBefore w:val="0"/>
        <w:widowControl w:val="0"/>
        <w:kinsoku/>
        <w:wordWrap/>
        <w:overflowPunct/>
        <w:topLinePunct w:val="0"/>
        <w:autoSpaceDE/>
        <w:autoSpaceDN/>
        <w:bidi w:val="0"/>
        <w:adjustRightInd w:val="0"/>
        <w:snapToGrid w:val="0"/>
        <w:spacing w:line="360" w:lineRule="auto"/>
        <w:ind w:left="420" w:leftChars="200"/>
        <w:textAlignment w:val="auto"/>
        <w:rPr>
          <w:rFonts w:ascii="宋体" w:hAnsi="宋体" w:cs="宋体"/>
          <w:sz w:val="24"/>
        </w:rPr>
      </w:pPr>
      <w:r>
        <w:rPr>
          <w:rFonts w:hint="eastAsia" w:ascii="宋体" w:hAnsi="宋体" w:cs="宋体"/>
          <w:spacing w:val="1"/>
          <w:sz w:val="24"/>
        </w:rPr>
        <w:t>获取方式：</w:t>
      </w:r>
      <w:r>
        <w:rPr>
          <w:rFonts w:hint="eastAsia" w:ascii="宋体" w:hAnsi="宋体" w:cs="宋体"/>
          <w:sz w:val="24"/>
        </w:rPr>
        <w:t>带</w:t>
      </w:r>
      <w:r>
        <w:rPr>
          <w:rFonts w:hint="eastAsia" w:ascii="宋体" w:hAnsi="宋体" w:cs="宋体"/>
          <w:sz w:val="24"/>
          <w:lang w:eastAsia="zh-CN"/>
        </w:rPr>
        <w:t>齐</w:t>
      </w:r>
      <w:r>
        <w:rPr>
          <w:rFonts w:hint="eastAsia" w:ascii="宋体" w:hAnsi="宋体" w:cs="宋体"/>
          <w:sz w:val="24"/>
        </w:rPr>
        <w:t>以下</w:t>
      </w:r>
      <w:r>
        <w:rPr>
          <w:rFonts w:hint="eastAsia" w:ascii="宋体" w:hAnsi="宋体" w:cs="宋体"/>
          <w:b/>
          <w:sz w:val="24"/>
          <w:u w:val="single"/>
        </w:rPr>
        <w:t>加盖公章</w:t>
      </w:r>
      <w:r>
        <w:rPr>
          <w:rFonts w:hint="eastAsia" w:ascii="宋体" w:hAnsi="宋体" w:cs="宋体"/>
          <w:b w:val="0"/>
          <w:bCs/>
          <w:sz w:val="24"/>
          <w:u w:val="none"/>
          <w:lang w:eastAsia="zh-CN"/>
        </w:rPr>
        <w:t>的资料各</w:t>
      </w:r>
      <w:r>
        <w:rPr>
          <w:rFonts w:hint="eastAsia" w:ascii="宋体" w:hAnsi="宋体" w:cs="宋体"/>
          <w:sz w:val="24"/>
        </w:rPr>
        <w:t>一份现场领取（</w:t>
      </w:r>
      <w:r>
        <w:rPr>
          <w:rFonts w:hint="eastAsia" w:ascii="宋体" w:hAnsi="宋体" w:cs="宋体"/>
          <w:b/>
          <w:sz w:val="24"/>
          <w:u w:val="single"/>
        </w:rPr>
        <w:t>自备U 盘</w:t>
      </w:r>
      <w:r>
        <w:rPr>
          <w:rFonts w:hint="eastAsia" w:ascii="宋体" w:hAnsi="宋体" w:cs="宋体"/>
          <w:sz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720" w:leftChars="0"/>
        <w:textAlignment w:val="auto"/>
        <w:rPr>
          <w:rFonts w:ascii="宋体" w:hAnsi="宋体" w:cs="宋体"/>
          <w:sz w:val="24"/>
        </w:rPr>
      </w:pPr>
      <w:r>
        <w:rPr>
          <w:rFonts w:hint="eastAsia" w:ascii="宋体" w:hAnsi="宋体" w:cs="宋体"/>
          <w:sz w:val="24"/>
          <w:lang w:val="en-US" w:eastAsia="zh-CN"/>
        </w:rPr>
        <w:t>1、</w:t>
      </w:r>
      <w:r>
        <w:rPr>
          <w:rFonts w:hint="eastAsia" w:ascii="宋体" w:hAnsi="宋体" w:cs="宋体"/>
          <w:sz w:val="24"/>
          <w:lang w:eastAsia="zh-CN"/>
        </w:rPr>
        <w:t>营业执照复印件；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720" w:leftChars="0"/>
        <w:textAlignment w:val="auto"/>
        <w:rPr>
          <w:rFonts w:hint="default" w:ascii="宋体" w:hAnsi="宋体" w:cs="宋体"/>
          <w:sz w:val="24"/>
          <w:lang w:val="en-US" w:eastAsia="zh-CN"/>
        </w:rPr>
      </w:pPr>
      <w:r>
        <w:rPr>
          <w:rFonts w:hint="eastAsia" w:ascii="宋体" w:hAnsi="宋体" w:cs="宋体"/>
          <w:sz w:val="24"/>
          <w:lang w:val="en-US" w:eastAsia="zh-CN"/>
        </w:rPr>
        <w:t>2、</w:t>
      </w:r>
      <w:r>
        <w:rPr>
          <w:rFonts w:hint="eastAsia" w:ascii="宋体" w:hAnsi="宋体" w:cs="宋体"/>
          <w:sz w:val="24"/>
          <w:lang w:eastAsia="zh-CN"/>
        </w:rPr>
        <w:t>法定代表人资格证明书和授权委托书；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z w:val="24"/>
          <w:lang w:eastAsia="zh-CN"/>
        </w:rPr>
      </w:pPr>
      <w:r>
        <w:rPr>
          <w:rFonts w:hint="eastAsia" w:ascii="宋体" w:hAnsi="宋体" w:cs="宋体"/>
          <w:sz w:val="24"/>
          <w:lang w:eastAsia="zh-CN"/>
        </w:rPr>
        <w:t>售价：200元（售后不退）。</w:t>
      </w:r>
    </w:p>
    <w:p>
      <w:pPr>
        <w:keepNext w:val="0"/>
        <w:keepLines w:val="0"/>
        <w:pageBreakBefore w:val="0"/>
        <w:widowControl w:val="0"/>
        <w:kinsoku/>
        <w:wordWrap/>
        <w:overflowPunct/>
        <w:topLinePunct w:val="0"/>
        <w:autoSpaceDE/>
        <w:autoSpaceDN/>
        <w:bidi w:val="0"/>
        <w:adjustRightInd w:val="0"/>
        <w:snapToGrid w:val="0"/>
        <w:spacing w:line="360" w:lineRule="auto"/>
        <w:ind w:left="5"/>
        <w:textAlignment w:val="auto"/>
        <w:outlineLvl w:val="2"/>
        <w:rPr>
          <w:rFonts w:ascii="宋体" w:hAnsi="宋体" w:cs="宋体"/>
          <w:b/>
          <w:bCs/>
          <w:spacing w:val="-3"/>
          <w:sz w:val="24"/>
        </w:rPr>
      </w:pPr>
      <w:bookmarkStart w:id="49" w:name="_Toc17980"/>
      <w:r>
        <w:rPr>
          <w:rFonts w:hint="eastAsia" w:ascii="宋体" w:hAnsi="宋体" w:cs="宋体"/>
          <w:b/>
          <w:bCs/>
          <w:spacing w:val="-3"/>
          <w:sz w:val="24"/>
        </w:rPr>
        <w:t>四、响应文件</w:t>
      </w:r>
      <w:r>
        <w:rPr>
          <w:rFonts w:hint="eastAsia" w:ascii="宋体" w:hAnsi="宋体" w:cs="宋体"/>
          <w:b/>
          <w:bCs/>
          <w:spacing w:val="-3"/>
          <w:sz w:val="24"/>
          <w:lang w:eastAsia="zh-CN"/>
        </w:rPr>
        <w:t>提交</w:t>
      </w:r>
      <w:r>
        <w:rPr>
          <w:rFonts w:hint="eastAsia" w:ascii="宋体" w:hAnsi="宋体" w:cs="宋体"/>
          <w:b/>
          <w:bCs/>
          <w:spacing w:val="-3"/>
          <w:sz w:val="24"/>
        </w:rPr>
        <w:t>时间</w:t>
      </w:r>
      <w:bookmarkEnd w:id="49"/>
    </w:p>
    <w:p>
      <w:pPr>
        <w:keepNext w:val="0"/>
        <w:keepLines w:val="0"/>
        <w:pageBreakBefore w:val="0"/>
        <w:widowControl w:val="0"/>
        <w:kinsoku/>
        <w:wordWrap/>
        <w:overflowPunct/>
        <w:topLinePunct w:val="0"/>
        <w:autoSpaceDE/>
        <w:autoSpaceDN/>
        <w:bidi w:val="0"/>
        <w:adjustRightInd w:val="0"/>
        <w:snapToGrid w:val="0"/>
        <w:spacing w:line="360" w:lineRule="auto"/>
        <w:ind w:left="389"/>
        <w:textAlignment w:val="auto"/>
        <w:rPr>
          <w:rFonts w:ascii="宋体" w:hAnsi="宋体" w:cs="宋体"/>
          <w:spacing w:val="2"/>
          <w:sz w:val="24"/>
        </w:rPr>
      </w:pPr>
      <w:r>
        <w:rPr>
          <w:rFonts w:hint="eastAsia" w:ascii="宋体" w:hAnsi="宋体" w:cs="宋体"/>
          <w:spacing w:val="2"/>
          <w:sz w:val="24"/>
        </w:rPr>
        <w:t>响应文件</w:t>
      </w:r>
      <w:r>
        <w:rPr>
          <w:rFonts w:hint="eastAsia" w:ascii="宋体" w:hAnsi="宋体" w:cs="宋体"/>
          <w:spacing w:val="2"/>
          <w:sz w:val="24"/>
          <w:lang w:eastAsia="zh-CN"/>
        </w:rPr>
        <w:t>提交</w:t>
      </w:r>
      <w:r>
        <w:rPr>
          <w:rFonts w:hint="eastAsia" w:ascii="宋体" w:hAnsi="宋体" w:cs="宋体"/>
          <w:spacing w:val="2"/>
          <w:sz w:val="24"/>
        </w:rPr>
        <w:t>时间：</w:t>
      </w:r>
      <w:r>
        <w:rPr>
          <w:rFonts w:hint="eastAsia" w:ascii="宋体" w:hAnsi="宋体" w:cs="宋体"/>
          <w:spacing w:val="1"/>
          <w:sz w:val="24"/>
        </w:rPr>
        <w:t>202</w:t>
      </w:r>
      <w:r>
        <w:rPr>
          <w:rFonts w:hint="eastAsia" w:ascii="宋体" w:hAnsi="宋体" w:cs="宋体"/>
          <w:spacing w:val="1"/>
          <w:sz w:val="24"/>
          <w:lang w:val="en-US" w:eastAsia="zh-CN"/>
        </w:rPr>
        <w:t>4</w:t>
      </w:r>
      <w:r>
        <w:rPr>
          <w:rFonts w:hint="eastAsia" w:ascii="宋体" w:hAnsi="宋体" w:cs="宋体"/>
          <w:spacing w:val="1"/>
          <w:sz w:val="24"/>
        </w:rPr>
        <w:t>年</w:t>
      </w:r>
      <w:r>
        <w:rPr>
          <w:rFonts w:hint="eastAsia" w:ascii="宋体" w:hAnsi="宋体" w:cs="宋体"/>
          <w:spacing w:val="1"/>
          <w:sz w:val="24"/>
          <w:lang w:val="en-US" w:eastAsia="zh-CN"/>
        </w:rPr>
        <w:t xml:space="preserve"> 5 </w:t>
      </w:r>
      <w:r>
        <w:rPr>
          <w:rFonts w:hint="eastAsia" w:ascii="宋体" w:hAnsi="宋体" w:cs="宋体"/>
          <w:spacing w:val="1"/>
          <w:sz w:val="24"/>
        </w:rPr>
        <w:t>月</w:t>
      </w:r>
      <w:r>
        <w:rPr>
          <w:rFonts w:hint="eastAsia" w:ascii="宋体" w:hAnsi="宋体" w:cs="宋体"/>
          <w:spacing w:val="1"/>
          <w:sz w:val="24"/>
          <w:lang w:val="en-US" w:eastAsia="zh-CN"/>
        </w:rPr>
        <w:t xml:space="preserve"> 6 </w:t>
      </w:r>
      <w:r>
        <w:rPr>
          <w:rFonts w:hint="eastAsia" w:ascii="宋体" w:hAnsi="宋体" w:cs="宋体"/>
          <w:spacing w:val="1"/>
          <w:sz w:val="24"/>
        </w:rPr>
        <w:t>日</w:t>
      </w:r>
      <w:r>
        <w:rPr>
          <w:rFonts w:hint="eastAsia" w:ascii="宋体" w:hAnsi="宋体" w:cs="宋体"/>
          <w:spacing w:val="2"/>
          <w:sz w:val="24"/>
          <w:lang w:val="en-US" w:eastAsia="zh-CN"/>
        </w:rPr>
        <w:t>下</w:t>
      </w:r>
      <w:r>
        <w:rPr>
          <w:rFonts w:hint="eastAsia" w:ascii="宋体" w:hAnsi="宋体" w:cs="宋体"/>
          <w:spacing w:val="2"/>
          <w:sz w:val="24"/>
        </w:rPr>
        <w:t>午</w:t>
      </w:r>
      <w:r>
        <w:rPr>
          <w:rFonts w:hint="eastAsia" w:ascii="宋体" w:hAnsi="宋体" w:cs="宋体"/>
          <w:spacing w:val="2"/>
          <w:sz w:val="24"/>
          <w:lang w:val="en-US" w:eastAsia="zh-CN"/>
        </w:rPr>
        <w:t xml:space="preserve"> 14 </w:t>
      </w:r>
      <w:r>
        <w:rPr>
          <w:rFonts w:hint="eastAsia" w:ascii="宋体" w:hAnsi="宋体" w:cs="宋体"/>
          <w:spacing w:val="2"/>
          <w:sz w:val="24"/>
        </w:rPr>
        <w:t>：</w:t>
      </w:r>
      <w:r>
        <w:rPr>
          <w:rFonts w:hint="eastAsia" w:ascii="宋体" w:hAnsi="宋体" w:cs="宋体"/>
          <w:spacing w:val="2"/>
          <w:sz w:val="24"/>
          <w:lang w:val="en-US" w:eastAsia="zh-CN"/>
        </w:rPr>
        <w:t xml:space="preserve"> 30 </w:t>
      </w:r>
      <w:r>
        <w:rPr>
          <w:rFonts w:hint="eastAsia" w:ascii="宋体" w:hAnsi="宋体" w:cs="宋体"/>
          <w:spacing w:val="2"/>
          <w:sz w:val="24"/>
        </w:rPr>
        <w:t>至</w:t>
      </w:r>
      <w:r>
        <w:rPr>
          <w:rFonts w:hint="eastAsia" w:ascii="宋体" w:hAnsi="宋体" w:cs="宋体"/>
          <w:spacing w:val="2"/>
          <w:sz w:val="24"/>
          <w:lang w:val="en-US" w:eastAsia="zh-CN"/>
        </w:rPr>
        <w:t xml:space="preserve"> 15 </w:t>
      </w:r>
      <w:r>
        <w:rPr>
          <w:rFonts w:hint="eastAsia" w:ascii="宋体" w:hAnsi="宋体" w:cs="宋体"/>
          <w:spacing w:val="2"/>
          <w:sz w:val="24"/>
        </w:rPr>
        <w:t>：</w:t>
      </w:r>
      <w:r>
        <w:rPr>
          <w:rFonts w:hint="eastAsia" w:ascii="宋体" w:hAnsi="宋体" w:cs="宋体"/>
          <w:spacing w:val="2"/>
          <w:sz w:val="24"/>
          <w:lang w:val="en-US" w:eastAsia="zh-CN"/>
        </w:rPr>
        <w:t xml:space="preserve"> 00 </w:t>
      </w:r>
      <w:r>
        <w:rPr>
          <w:rFonts w:hint="eastAsia" w:ascii="宋体" w:hAnsi="宋体" w:cs="宋体"/>
          <w:spacing w:val="2"/>
          <w:sz w:val="24"/>
        </w:rPr>
        <w:t>止（北京时间）</w:t>
      </w:r>
    </w:p>
    <w:p>
      <w:pPr>
        <w:keepNext w:val="0"/>
        <w:keepLines w:val="0"/>
        <w:pageBreakBefore w:val="0"/>
        <w:widowControl w:val="0"/>
        <w:kinsoku/>
        <w:wordWrap/>
        <w:overflowPunct/>
        <w:topLinePunct w:val="0"/>
        <w:autoSpaceDE/>
        <w:autoSpaceDN/>
        <w:bidi w:val="0"/>
        <w:adjustRightInd w:val="0"/>
        <w:snapToGrid w:val="0"/>
        <w:spacing w:line="360" w:lineRule="auto"/>
        <w:ind w:left="389"/>
        <w:textAlignment w:val="auto"/>
        <w:rPr>
          <w:rFonts w:hint="eastAsia"/>
        </w:rPr>
      </w:pPr>
      <w:r>
        <w:rPr>
          <w:rFonts w:hint="eastAsia" w:ascii="宋体" w:hAnsi="宋体" w:cs="宋体"/>
          <w:spacing w:val="2"/>
          <w:sz w:val="24"/>
        </w:rPr>
        <w:t>地点：佛山市110城市应急指挥中心副楼11</w:t>
      </w:r>
      <w:r>
        <w:rPr>
          <w:rFonts w:hint="eastAsia" w:ascii="宋体" w:hAnsi="宋体" w:cs="宋体"/>
          <w:spacing w:val="2"/>
          <w:sz w:val="24"/>
          <w:lang w:val="en-US" w:eastAsia="zh-CN"/>
        </w:rPr>
        <w:t>2</w:t>
      </w:r>
      <w:r>
        <w:rPr>
          <w:rFonts w:hint="eastAsia" w:ascii="宋体" w:hAnsi="宋体" w:cs="宋体"/>
          <w:spacing w:val="2"/>
          <w:sz w:val="24"/>
        </w:rPr>
        <w:t>室(佛山市禅城区魁奇二路37号)。</w:t>
      </w:r>
    </w:p>
    <w:p>
      <w:pPr>
        <w:keepNext w:val="0"/>
        <w:keepLines w:val="0"/>
        <w:pageBreakBefore w:val="0"/>
        <w:widowControl w:val="0"/>
        <w:kinsoku/>
        <w:wordWrap/>
        <w:overflowPunct/>
        <w:topLinePunct w:val="0"/>
        <w:autoSpaceDE/>
        <w:autoSpaceDN/>
        <w:bidi w:val="0"/>
        <w:adjustRightInd w:val="0"/>
        <w:snapToGrid w:val="0"/>
        <w:spacing w:line="360" w:lineRule="auto"/>
        <w:ind w:left="5"/>
        <w:textAlignment w:val="auto"/>
        <w:outlineLvl w:val="2"/>
        <w:rPr>
          <w:rFonts w:ascii="宋体" w:hAnsi="宋体" w:cs="宋体"/>
          <w:b/>
          <w:bCs/>
          <w:spacing w:val="-3"/>
          <w:sz w:val="24"/>
        </w:rPr>
      </w:pPr>
      <w:bookmarkStart w:id="50" w:name="_Toc3094"/>
      <w:r>
        <w:rPr>
          <w:rFonts w:hint="eastAsia" w:ascii="宋体" w:hAnsi="宋体" w:cs="宋体"/>
          <w:b/>
          <w:bCs/>
          <w:spacing w:val="-3"/>
          <w:sz w:val="24"/>
          <w:lang w:eastAsia="zh-CN"/>
        </w:rPr>
        <w:t>五</w:t>
      </w:r>
      <w:r>
        <w:rPr>
          <w:rFonts w:hint="eastAsia" w:ascii="宋体" w:hAnsi="宋体" w:cs="宋体"/>
          <w:b/>
          <w:bCs/>
          <w:spacing w:val="-3"/>
          <w:sz w:val="24"/>
        </w:rPr>
        <w:t>、响应截止时间、</w:t>
      </w:r>
      <w:r>
        <w:rPr>
          <w:rFonts w:hint="eastAsia" w:ascii="宋体" w:hAnsi="宋体" w:cs="宋体"/>
          <w:b/>
          <w:bCs/>
          <w:spacing w:val="-3"/>
          <w:sz w:val="24"/>
          <w:lang w:eastAsia="zh-CN"/>
        </w:rPr>
        <w:t>开启</w:t>
      </w:r>
      <w:r>
        <w:rPr>
          <w:rFonts w:hint="eastAsia" w:ascii="宋体" w:hAnsi="宋体" w:cs="宋体"/>
          <w:b/>
          <w:bCs/>
          <w:spacing w:val="-3"/>
          <w:sz w:val="24"/>
        </w:rPr>
        <w:t>时间和地点</w:t>
      </w:r>
      <w:bookmarkEnd w:id="50"/>
    </w:p>
    <w:p>
      <w:pPr>
        <w:keepNext w:val="0"/>
        <w:keepLines w:val="0"/>
        <w:pageBreakBefore w:val="0"/>
        <w:widowControl w:val="0"/>
        <w:kinsoku/>
        <w:wordWrap/>
        <w:overflowPunct/>
        <w:topLinePunct w:val="0"/>
        <w:autoSpaceDE/>
        <w:autoSpaceDN/>
        <w:bidi w:val="0"/>
        <w:adjustRightInd w:val="0"/>
        <w:snapToGrid w:val="0"/>
        <w:spacing w:line="360" w:lineRule="auto"/>
        <w:ind w:left="389"/>
        <w:textAlignment w:val="auto"/>
        <w:rPr>
          <w:rFonts w:ascii="宋体" w:hAnsi="宋体" w:cs="宋体"/>
          <w:spacing w:val="2"/>
          <w:sz w:val="24"/>
        </w:rPr>
      </w:pPr>
      <w:r>
        <w:rPr>
          <w:rFonts w:hint="eastAsia" w:ascii="宋体" w:hAnsi="宋体" w:cs="宋体"/>
          <w:spacing w:val="2"/>
          <w:sz w:val="24"/>
        </w:rPr>
        <w:t>响应</w:t>
      </w:r>
      <w:r>
        <w:rPr>
          <w:rFonts w:hint="eastAsia" w:ascii="宋体" w:hAnsi="宋体" w:cs="宋体"/>
          <w:spacing w:val="2"/>
          <w:sz w:val="24"/>
          <w:lang w:eastAsia="zh-CN"/>
        </w:rPr>
        <w:t>截止</w:t>
      </w:r>
      <w:r>
        <w:rPr>
          <w:rFonts w:hint="eastAsia" w:ascii="宋体" w:hAnsi="宋体" w:cs="宋体"/>
          <w:spacing w:val="2"/>
          <w:sz w:val="24"/>
        </w:rPr>
        <w:t>时间、</w:t>
      </w:r>
      <w:r>
        <w:rPr>
          <w:rFonts w:hint="eastAsia" w:ascii="宋体" w:hAnsi="宋体" w:cs="宋体"/>
          <w:spacing w:val="2"/>
          <w:sz w:val="24"/>
          <w:lang w:eastAsia="zh-CN"/>
        </w:rPr>
        <w:t>开启</w:t>
      </w:r>
      <w:r>
        <w:rPr>
          <w:rFonts w:hint="eastAsia" w:ascii="宋体" w:hAnsi="宋体" w:cs="宋体"/>
          <w:spacing w:val="2"/>
          <w:sz w:val="24"/>
        </w:rPr>
        <w:t>时间：</w:t>
      </w:r>
      <w:r>
        <w:rPr>
          <w:rFonts w:hint="eastAsia" w:ascii="宋体" w:hAnsi="宋体" w:cs="宋体"/>
          <w:spacing w:val="1"/>
          <w:sz w:val="24"/>
        </w:rPr>
        <w:t>202</w:t>
      </w:r>
      <w:r>
        <w:rPr>
          <w:rFonts w:hint="eastAsia" w:ascii="宋体" w:hAnsi="宋体" w:cs="宋体"/>
          <w:spacing w:val="1"/>
          <w:sz w:val="24"/>
          <w:lang w:val="en-US" w:eastAsia="zh-CN"/>
        </w:rPr>
        <w:t>4</w:t>
      </w:r>
      <w:r>
        <w:rPr>
          <w:rFonts w:hint="eastAsia" w:ascii="宋体" w:hAnsi="宋体" w:cs="宋体"/>
          <w:spacing w:val="1"/>
          <w:sz w:val="24"/>
        </w:rPr>
        <w:t>年</w:t>
      </w:r>
      <w:r>
        <w:rPr>
          <w:rFonts w:hint="eastAsia" w:ascii="宋体" w:hAnsi="宋体" w:cs="宋体"/>
          <w:spacing w:val="1"/>
          <w:sz w:val="24"/>
          <w:lang w:val="en-US" w:eastAsia="zh-CN"/>
        </w:rPr>
        <w:t xml:space="preserve"> 5 </w:t>
      </w:r>
      <w:r>
        <w:rPr>
          <w:rFonts w:hint="eastAsia" w:ascii="宋体" w:hAnsi="宋体" w:cs="宋体"/>
          <w:spacing w:val="1"/>
          <w:sz w:val="24"/>
        </w:rPr>
        <w:t>月</w:t>
      </w:r>
      <w:r>
        <w:rPr>
          <w:rFonts w:hint="eastAsia" w:ascii="宋体" w:hAnsi="宋体" w:cs="宋体"/>
          <w:spacing w:val="1"/>
          <w:sz w:val="24"/>
          <w:lang w:val="en-US" w:eastAsia="zh-CN"/>
        </w:rPr>
        <w:t xml:space="preserve"> 6 </w:t>
      </w:r>
      <w:r>
        <w:rPr>
          <w:rFonts w:hint="eastAsia" w:ascii="宋体" w:hAnsi="宋体" w:cs="宋体"/>
          <w:spacing w:val="1"/>
          <w:sz w:val="24"/>
        </w:rPr>
        <w:t>日</w:t>
      </w:r>
      <w:r>
        <w:rPr>
          <w:rFonts w:hint="eastAsia" w:ascii="宋体" w:hAnsi="宋体" w:cs="宋体"/>
          <w:spacing w:val="2"/>
          <w:sz w:val="24"/>
          <w:lang w:val="en-US" w:eastAsia="zh-CN"/>
        </w:rPr>
        <w:t xml:space="preserve"> 下 </w:t>
      </w:r>
      <w:r>
        <w:rPr>
          <w:rFonts w:hint="eastAsia" w:ascii="宋体" w:hAnsi="宋体" w:cs="宋体"/>
          <w:spacing w:val="2"/>
          <w:sz w:val="24"/>
        </w:rPr>
        <w:t>午</w:t>
      </w:r>
      <w:r>
        <w:rPr>
          <w:rFonts w:hint="eastAsia" w:ascii="宋体" w:hAnsi="宋体" w:cs="宋体"/>
          <w:spacing w:val="2"/>
          <w:sz w:val="24"/>
          <w:lang w:val="en-US" w:eastAsia="zh-CN"/>
        </w:rPr>
        <w:t xml:space="preserve"> 15 </w:t>
      </w:r>
      <w:r>
        <w:rPr>
          <w:rFonts w:hint="eastAsia" w:ascii="宋体" w:hAnsi="宋体" w:cs="宋体"/>
          <w:spacing w:val="2"/>
          <w:sz w:val="24"/>
        </w:rPr>
        <w:t>：</w:t>
      </w:r>
      <w:r>
        <w:rPr>
          <w:rFonts w:hint="eastAsia" w:ascii="宋体" w:hAnsi="宋体" w:cs="宋体"/>
          <w:spacing w:val="2"/>
          <w:sz w:val="24"/>
          <w:lang w:val="en-US" w:eastAsia="zh-CN"/>
        </w:rPr>
        <w:t xml:space="preserve"> 00 </w:t>
      </w:r>
      <w:r>
        <w:rPr>
          <w:rFonts w:hint="eastAsia" w:ascii="宋体" w:hAnsi="宋体" w:cs="宋体"/>
          <w:spacing w:val="2"/>
          <w:sz w:val="24"/>
        </w:rPr>
        <w:t>（北京时间）</w:t>
      </w:r>
    </w:p>
    <w:p>
      <w:pPr>
        <w:keepNext w:val="0"/>
        <w:keepLines w:val="0"/>
        <w:pageBreakBefore w:val="0"/>
        <w:widowControl w:val="0"/>
        <w:kinsoku/>
        <w:wordWrap/>
        <w:overflowPunct/>
        <w:topLinePunct w:val="0"/>
        <w:autoSpaceDE/>
        <w:autoSpaceDN/>
        <w:bidi w:val="0"/>
        <w:adjustRightInd w:val="0"/>
        <w:snapToGrid w:val="0"/>
        <w:spacing w:line="360" w:lineRule="auto"/>
        <w:ind w:left="389"/>
        <w:textAlignment w:val="auto"/>
        <w:rPr>
          <w:rFonts w:ascii="宋体" w:hAnsi="宋体" w:cs="宋体"/>
          <w:spacing w:val="2"/>
          <w:sz w:val="24"/>
        </w:rPr>
      </w:pPr>
      <w:r>
        <w:rPr>
          <w:rFonts w:hint="eastAsia" w:ascii="宋体" w:hAnsi="宋体" w:cs="宋体"/>
          <w:spacing w:val="2"/>
          <w:sz w:val="24"/>
        </w:rPr>
        <w:t>地点：佛山市110城市应急指挥中心副楼11</w:t>
      </w:r>
      <w:r>
        <w:rPr>
          <w:rFonts w:hint="eastAsia" w:ascii="宋体" w:hAnsi="宋体" w:cs="宋体"/>
          <w:spacing w:val="2"/>
          <w:sz w:val="24"/>
          <w:lang w:val="en-US" w:eastAsia="zh-CN"/>
        </w:rPr>
        <w:t>2</w:t>
      </w:r>
      <w:r>
        <w:rPr>
          <w:rFonts w:hint="eastAsia" w:ascii="宋体" w:hAnsi="宋体" w:cs="宋体"/>
          <w:spacing w:val="2"/>
          <w:sz w:val="24"/>
        </w:rPr>
        <w:t>室(佛山市禅城区魁奇二路37号)。</w:t>
      </w:r>
    </w:p>
    <w:p>
      <w:pPr>
        <w:keepNext w:val="0"/>
        <w:keepLines w:val="0"/>
        <w:pageBreakBefore w:val="0"/>
        <w:widowControl w:val="0"/>
        <w:kinsoku/>
        <w:wordWrap/>
        <w:overflowPunct/>
        <w:topLinePunct w:val="0"/>
        <w:autoSpaceDE/>
        <w:autoSpaceDN/>
        <w:bidi w:val="0"/>
        <w:adjustRightInd w:val="0"/>
        <w:snapToGrid w:val="0"/>
        <w:spacing w:line="360" w:lineRule="auto"/>
        <w:ind w:left="5"/>
        <w:textAlignment w:val="auto"/>
        <w:outlineLvl w:val="2"/>
        <w:rPr>
          <w:rFonts w:ascii="宋体" w:hAnsi="宋体" w:cs="宋体"/>
          <w:b/>
          <w:bCs/>
          <w:spacing w:val="-3"/>
          <w:sz w:val="24"/>
        </w:rPr>
      </w:pPr>
      <w:bookmarkStart w:id="51" w:name="_Toc22291"/>
      <w:r>
        <w:rPr>
          <w:rFonts w:hint="eastAsia" w:ascii="宋体" w:hAnsi="宋体" w:cs="宋体"/>
          <w:b/>
          <w:bCs/>
          <w:spacing w:val="-3"/>
          <w:sz w:val="24"/>
          <w:lang w:eastAsia="zh-CN"/>
        </w:rPr>
        <w:t>六</w:t>
      </w:r>
      <w:r>
        <w:rPr>
          <w:rFonts w:hint="eastAsia" w:ascii="宋体" w:hAnsi="宋体" w:cs="宋体"/>
          <w:b/>
          <w:bCs/>
          <w:spacing w:val="-3"/>
          <w:sz w:val="24"/>
        </w:rPr>
        <w:t>、公告期限、发布公告的媒介</w:t>
      </w:r>
      <w:bookmarkEnd w:id="51"/>
    </w:p>
    <w:p>
      <w:pPr>
        <w:keepNext w:val="0"/>
        <w:keepLines w:val="0"/>
        <w:pageBreakBefore w:val="0"/>
        <w:widowControl w:val="0"/>
        <w:kinsoku/>
        <w:wordWrap/>
        <w:overflowPunct/>
        <w:topLinePunct w:val="0"/>
        <w:autoSpaceDE/>
        <w:autoSpaceDN/>
        <w:bidi w:val="0"/>
        <w:adjustRightInd w:val="0"/>
        <w:snapToGrid w:val="0"/>
        <w:spacing w:line="360" w:lineRule="auto"/>
        <w:ind w:left="403"/>
        <w:textAlignment w:val="auto"/>
        <w:rPr>
          <w:rFonts w:ascii="宋体" w:hAnsi="宋体" w:cs="宋体"/>
          <w:sz w:val="24"/>
        </w:rPr>
      </w:pPr>
      <w:r>
        <w:rPr>
          <w:rFonts w:hint="eastAsia" w:ascii="宋体" w:hAnsi="宋体" w:cs="宋体"/>
          <w:spacing w:val="-4"/>
          <w:sz w:val="24"/>
        </w:rPr>
        <w:t>1、公告期限：</w:t>
      </w:r>
      <w:r>
        <w:rPr>
          <w:rFonts w:hint="eastAsia" w:ascii="宋体" w:hAnsi="宋体" w:cs="宋体"/>
          <w:spacing w:val="-3"/>
          <w:sz w:val="24"/>
        </w:rPr>
        <w:t>自</w:t>
      </w:r>
      <w:r>
        <w:rPr>
          <w:rFonts w:hint="eastAsia" w:ascii="宋体" w:hAnsi="宋体" w:cs="宋体"/>
          <w:spacing w:val="-2"/>
          <w:sz w:val="24"/>
        </w:rPr>
        <w:t>本公告发布之日起不得少于</w:t>
      </w:r>
      <w:r>
        <w:rPr>
          <w:rFonts w:hint="eastAsia" w:ascii="宋体" w:hAnsi="宋体" w:cs="宋体"/>
          <w:spacing w:val="-2"/>
          <w:sz w:val="24"/>
          <w:lang w:val="en-US" w:eastAsia="zh-CN"/>
        </w:rPr>
        <w:t>5</w:t>
      </w:r>
      <w:r>
        <w:rPr>
          <w:rFonts w:hint="eastAsia" w:ascii="宋体" w:hAnsi="宋体" w:cs="宋体"/>
          <w:spacing w:val="-2"/>
          <w:sz w:val="24"/>
        </w:rPr>
        <w:t>个工作日。</w:t>
      </w:r>
    </w:p>
    <w:p>
      <w:pPr>
        <w:keepNext w:val="0"/>
        <w:keepLines w:val="0"/>
        <w:pageBreakBefore w:val="0"/>
        <w:widowControl w:val="0"/>
        <w:kinsoku/>
        <w:wordWrap/>
        <w:overflowPunct/>
        <w:topLinePunct w:val="0"/>
        <w:autoSpaceDE/>
        <w:autoSpaceDN/>
        <w:bidi w:val="0"/>
        <w:adjustRightInd w:val="0"/>
        <w:snapToGrid w:val="0"/>
        <w:spacing w:line="360" w:lineRule="auto"/>
        <w:ind w:left="429" w:leftChars="200" w:right="36" w:hanging="9" w:firstLineChars="0"/>
        <w:jc w:val="left"/>
        <w:textAlignment w:val="auto"/>
        <w:rPr>
          <w:rFonts w:ascii="宋体" w:hAnsi="宋体" w:cs="宋体"/>
          <w:sz w:val="24"/>
        </w:rPr>
      </w:pPr>
      <w:r>
        <w:rPr>
          <w:rFonts w:hint="eastAsia" w:ascii="宋体" w:hAnsi="宋体" w:cs="宋体"/>
          <w:spacing w:val="4"/>
          <w:sz w:val="24"/>
        </w:rPr>
        <w:t>2、发布公告的媒介</w:t>
      </w:r>
      <w:r>
        <w:rPr>
          <w:rFonts w:hint="eastAsia" w:ascii="宋体" w:hAnsi="宋体" w:cs="宋体"/>
          <w:spacing w:val="2"/>
          <w:sz w:val="24"/>
        </w:rPr>
        <w:t>：佛山市公安局网</w:t>
      </w:r>
      <w:r>
        <w:rPr>
          <w:rFonts w:hint="eastAsia" w:ascii="宋体" w:hAnsi="宋体" w:cs="宋体"/>
          <w:sz w:val="24"/>
        </w:rPr>
        <w:t>：http://fsga.foshan.gov.cn/fsga_new/xxgk/cgxx/cggg/index.html</w:t>
      </w:r>
    </w:p>
    <w:p>
      <w:pPr>
        <w:keepNext w:val="0"/>
        <w:keepLines w:val="0"/>
        <w:pageBreakBefore w:val="0"/>
        <w:widowControl w:val="0"/>
        <w:kinsoku/>
        <w:wordWrap/>
        <w:overflowPunct/>
        <w:topLinePunct w:val="0"/>
        <w:autoSpaceDE/>
        <w:autoSpaceDN/>
        <w:bidi w:val="0"/>
        <w:adjustRightInd w:val="0"/>
        <w:snapToGrid w:val="0"/>
        <w:spacing w:line="360" w:lineRule="auto"/>
        <w:ind w:left="5"/>
        <w:textAlignment w:val="auto"/>
        <w:outlineLvl w:val="2"/>
        <w:rPr>
          <w:rFonts w:ascii="宋体" w:hAnsi="宋体" w:cs="宋体"/>
          <w:b/>
          <w:bCs/>
          <w:spacing w:val="-3"/>
          <w:sz w:val="24"/>
        </w:rPr>
      </w:pPr>
      <w:bookmarkStart w:id="52" w:name="_Toc26603"/>
      <w:r>
        <w:rPr>
          <w:rFonts w:hint="eastAsia" w:ascii="宋体" w:hAnsi="宋体" w:cs="宋体"/>
          <w:b/>
          <w:bCs/>
          <w:spacing w:val="-3"/>
          <w:sz w:val="24"/>
          <w:lang w:eastAsia="zh-CN"/>
        </w:rPr>
        <w:t>七</w:t>
      </w:r>
      <w:r>
        <w:rPr>
          <w:rFonts w:hint="eastAsia" w:ascii="宋体" w:hAnsi="宋体" w:cs="宋体"/>
          <w:b/>
          <w:bCs/>
          <w:spacing w:val="-3"/>
          <w:sz w:val="24"/>
        </w:rPr>
        <w:t>、特别提醒注意事项</w:t>
      </w:r>
      <w:bookmarkEnd w:id="52"/>
    </w:p>
    <w:p>
      <w:pPr>
        <w:keepNext w:val="0"/>
        <w:keepLines w:val="0"/>
        <w:pageBreakBefore w:val="0"/>
        <w:widowControl w:val="0"/>
        <w:kinsoku/>
        <w:wordWrap/>
        <w:overflowPunct/>
        <w:topLinePunct w:val="0"/>
        <w:autoSpaceDE/>
        <w:autoSpaceDN/>
        <w:bidi w:val="0"/>
        <w:adjustRightInd w:val="0"/>
        <w:snapToGrid w:val="0"/>
        <w:spacing w:line="400" w:lineRule="exact"/>
        <w:ind w:left="403"/>
        <w:textAlignment w:val="auto"/>
        <w:rPr>
          <w:rFonts w:ascii="宋体" w:hAnsi="宋体" w:cs="宋体"/>
          <w:spacing w:val="-2"/>
          <w:sz w:val="24"/>
        </w:rPr>
      </w:pPr>
      <w:r>
        <w:rPr>
          <w:rFonts w:hint="eastAsia" w:ascii="宋体" w:hAnsi="宋体" w:cs="宋体"/>
          <w:spacing w:val="-2"/>
          <w:sz w:val="24"/>
        </w:rPr>
        <w:t>1、根据佛山市公安局内部采购规范相关要求，已成功报名供应商无故不到场递交响应文件的，视为失信，三个月内不得参与佛山市公安局所有内部采购项目的投标活动；累计两次的，将直接列入失信供应商黑名单，今后不得在参加佛山市公安局所有内部采购项目的投标活动，请各投标供应商务必重视！已成功报名却因不可抗力而未能到场投标，须于开标前一日明确告知，经同意后方可视为无失信责任。</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2"/>
        <w:rPr>
          <w:rFonts w:ascii="宋体" w:hAnsi="宋体" w:cs="宋体"/>
          <w:b/>
          <w:bCs/>
          <w:spacing w:val="-3"/>
          <w:sz w:val="24"/>
        </w:rPr>
      </w:pPr>
      <w:bookmarkStart w:id="53" w:name="_Toc18855"/>
      <w:r>
        <w:rPr>
          <w:rFonts w:hint="eastAsia" w:ascii="宋体" w:hAnsi="宋体" w:cs="宋体"/>
          <w:b/>
          <w:bCs/>
          <w:spacing w:val="-3"/>
          <w:sz w:val="24"/>
          <w:lang w:eastAsia="zh-CN"/>
        </w:rPr>
        <w:t>八</w:t>
      </w:r>
      <w:r>
        <w:rPr>
          <w:rFonts w:hint="eastAsia" w:ascii="宋体" w:hAnsi="宋体" w:cs="宋体"/>
          <w:b/>
          <w:bCs/>
          <w:spacing w:val="-3"/>
          <w:sz w:val="24"/>
        </w:rPr>
        <w:t>、本项目联系方式</w:t>
      </w:r>
      <w:bookmarkEnd w:id="53"/>
    </w:p>
    <w:p>
      <w:pPr>
        <w:keepNext w:val="0"/>
        <w:keepLines w:val="0"/>
        <w:pageBreakBefore w:val="0"/>
        <w:widowControl w:val="0"/>
        <w:kinsoku/>
        <w:wordWrap/>
        <w:overflowPunct/>
        <w:topLinePunct w:val="0"/>
        <w:autoSpaceDE/>
        <w:autoSpaceDN/>
        <w:bidi w:val="0"/>
        <w:adjustRightInd w:val="0"/>
        <w:snapToGrid w:val="0"/>
        <w:spacing w:line="400" w:lineRule="exact"/>
        <w:ind w:left="403"/>
        <w:textAlignment w:val="auto"/>
        <w:rPr>
          <w:rFonts w:ascii="宋体" w:hAnsi="宋体" w:cs="宋体"/>
          <w:spacing w:val="-2"/>
          <w:sz w:val="24"/>
        </w:rPr>
      </w:pPr>
      <w:r>
        <w:rPr>
          <w:rFonts w:hint="eastAsia" w:ascii="宋体" w:hAnsi="宋体" w:cs="宋体"/>
          <w:spacing w:val="-2"/>
          <w:sz w:val="24"/>
        </w:rPr>
        <w:t>1</w:t>
      </w:r>
      <w:r>
        <w:rPr>
          <w:rFonts w:hint="eastAsia" w:ascii="宋体" w:hAnsi="宋体" w:cs="宋体"/>
          <w:spacing w:val="-2"/>
          <w:sz w:val="24"/>
          <w:lang w:eastAsia="zh-CN"/>
        </w:rPr>
        <w:t>、</w:t>
      </w:r>
      <w:r>
        <w:rPr>
          <w:rFonts w:hint="eastAsia" w:ascii="宋体" w:hAnsi="宋体" w:cs="宋体"/>
          <w:spacing w:val="-2"/>
          <w:sz w:val="24"/>
        </w:rPr>
        <w:t>采购人信息</w:t>
      </w:r>
    </w:p>
    <w:p>
      <w:pPr>
        <w:keepNext w:val="0"/>
        <w:keepLines w:val="0"/>
        <w:pageBreakBefore w:val="0"/>
        <w:widowControl w:val="0"/>
        <w:kinsoku/>
        <w:wordWrap/>
        <w:overflowPunct/>
        <w:topLinePunct w:val="0"/>
        <w:autoSpaceDE/>
        <w:autoSpaceDN/>
        <w:bidi w:val="0"/>
        <w:adjustRightInd w:val="0"/>
        <w:snapToGrid w:val="0"/>
        <w:spacing w:line="400" w:lineRule="exact"/>
        <w:ind w:left="403"/>
        <w:textAlignment w:val="auto"/>
        <w:rPr>
          <w:rFonts w:ascii="宋体" w:hAnsi="宋体" w:cs="宋体"/>
          <w:spacing w:val="-2"/>
          <w:sz w:val="24"/>
        </w:rPr>
      </w:pPr>
      <w:r>
        <w:rPr>
          <w:rFonts w:hint="eastAsia" w:ascii="宋体" w:hAnsi="宋体" w:cs="宋体"/>
          <w:spacing w:val="-2"/>
          <w:sz w:val="24"/>
        </w:rPr>
        <w:t>名称：佛山市公安局</w:t>
      </w:r>
    </w:p>
    <w:p>
      <w:pPr>
        <w:keepNext w:val="0"/>
        <w:keepLines w:val="0"/>
        <w:pageBreakBefore w:val="0"/>
        <w:widowControl w:val="0"/>
        <w:kinsoku/>
        <w:wordWrap/>
        <w:overflowPunct/>
        <w:topLinePunct w:val="0"/>
        <w:autoSpaceDE/>
        <w:autoSpaceDN/>
        <w:bidi w:val="0"/>
        <w:adjustRightInd w:val="0"/>
        <w:snapToGrid w:val="0"/>
        <w:spacing w:line="400" w:lineRule="exact"/>
        <w:ind w:left="403"/>
        <w:textAlignment w:val="auto"/>
        <w:rPr>
          <w:rFonts w:ascii="宋体" w:hAnsi="宋体" w:cs="宋体"/>
          <w:spacing w:val="-2"/>
          <w:sz w:val="24"/>
        </w:rPr>
      </w:pPr>
      <w:r>
        <w:rPr>
          <w:rFonts w:hint="eastAsia" w:ascii="宋体" w:hAnsi="宋体" w:cs="宋体"/>
          <w:spacing w:val="-2"/>
          <w:sz w:val="24"/>
        </w:rPr>
        <w:t>地址：佛山市禅城区岭南大道北8号</w:t>
      </w:r>
    </w:p>
    <w:p>
      <w:pPr>
        <w:keepNext w:val="0"/>
        <w:keepLines w:val="0"/>
        <w:pageBreakBefore w:val="0"/>
        <w:widowControl w:val="0"/>
        <w:kinsoku/>
        <w:wordWrap/>
        <w:overflowPunct/>
        <w:topLinePunct w:val="0"/>
        <w:autoSpaceDE/>
        <w:autoSpaceDN/>
        <w:bidi w:val="0"/>
        <w:adjustRightInd w:val="0"/>
        <w:snapToGrid w:val="0"/>
        <w:spacing w:line="400" w:lineRule="exact"/>
        <w:ind w:left="403"/>
        <w:textAlignment w:val="auto"/>
        <w:rPr>
          <w:rFonts w:ascii="宋体" w:hAnsi="宋体" w:cs="宋体"/>
          <w:spacing w:val="-2"/>
          <w:sz w:val="24"/>
        </w:rPr>
      </w:pPr>
      <w:r>
        <w:rPr>
          <w:rFonts w:hint="eastAsia" w:ascii="宋体" w:hAnsi="宋体" w:cs="宋体"/>
          <w:spacing w:val="-2"/>
          <w:sz w:val="24"/>
        </w:rPr>
        <w:t>联系方式：0757-83336888</w:t>
      </w:r>
    </w:p>
    <w:p>
      <w:pPr>
        <w:keepNext w:val="0"/>
        <w:keepLines w:val="0"/>
        <w:pageBreakBefore w:val="0"/>
        <w:widowControl w:val="0"/>
        <w:kinsoku/>
        <w:wordWrap/>
        <w:overflowPunct/>
        <w:topLinePunct w:val="0"/>
        <w:autoSpaceDE/>
        <w:autoSpaceDN/>
        <w:bidi w:val="0"/>
        <w:adjustRightInd w:val="0"/>
        <w:snapToGrid w:val="0"/>
        <w:spacing w:line="400" w:lineRule="exact"/>
        <w:ind w:left="403"/>
        <w:textAlignment w:val="auto"/>
        <w:rPr>
          <w:rFonts w:ascii="宋体" w:hAnsi="宋体" w:cs="宋体"/>
          <w:spacing w:val="-2"/>
          <w:sz w:val="24"/>
        </w:rPr>
      </w:pPr>
      <w:r>
        <w:rPr>
          <w:rFonts w:hint="eastAsia" w:ascii="宋体" w:hAnsi="宋体" w:cs="宋体"/>
          <w:spacing w:val="-2"/>
          <w:sz w:val="24"/>
        </w:rPr>
        <w:t>2</w:t>
      </w:r>
      <w:r>
        <w:rPr>
          <w:rFonts w:hint="eastAsia" w:ascii="宋体" w:hAnsi="宋体" w:cs="宋体"/>
          <w:spacing w:val="-2"/>
          <w:sz w:val="24"/>
          <w:lang w:eastAsia="zh-CN"/>
        </w:rPr>
        <w:t>、</w:t>
      </w:r>
      <w:r>
        <w:rPr>
          <w:rFonts w:hint="eastAsia" w:ascii="宋体" w:hAnsi="宋体" w:cs="宋体"/>
          <w:spacing w:val="-2"/>
          <w:sz w:val="24"/>
        </w:rPr>
        <w:t>采购代理机构信息</w:t>
      </w:r>
    </w:p>
    <w:p>
      <w:pPr>
        <w:keepNext w:val="0"/>
        <w:keepLines w:val="0"/>
        <w:pageBreakBefore w:val="0"/>
        <w:widowControl w:val="0"/>
        <w:kinsoku/>
        <w:wordWrap/>
        <w:overflowPunct/>
        <w:topLinePunct w:val="0"/>
        <w:autoSpaceDE/>
        <w:autoSpaceDN/>
        <w:bidi w:val="0"/>
        <w:adjustRightInd w:val="0"/>
        <w:snapToGrid w:val="0"/>
        <w:spacing w:line="400" w:lineRule="exact"/>
        <w:ind w:left="403"/>
        <w:textAlignment w:val="auto"/>
        <w:rPr>
          <w:rFonts w:ascii="宋体" w:hAnsi="宋体" w:cs="宋体"/>
          <w:spacing w:val="-2"/>
          <w:sz w:val="24"/>
        </w:rPr>
      </w:pPr>
      <w:r>
        <w:rPr>
          <w:rFonts w:hint="eastAsia" w:ascii="宋体" w:hAnsi="宋体" w:cs="宋体"/>
          <w:spacing w:val="-2"/>
          <w:sz w:val="24"/>
        </w:rPr>
        <w:t>名称：广东远东招标代理有限公司</w:t>
      </w:r>
    </w:p>
    <w:p>
      <w:pPr>
        <w:keepNext w:val="0"/>
        <w:keepLines w:val="0"/>
        <w:pageBreakBefore w:val="0"/>
        <w:widowControl w:val="0"/>
        <w:kinsoku/>
        <w:wordWrap/>
        <w:overflowPunct/>
        <w:topLinePunct w:val="0"/>
        <w:autoSpaceDE/>
        <w:autoSpaceDN/>
        <w:bidi w:val="0"/>
        <w:adjustRightInd w:val="0"/>
        <w:snapToGrid w:val="0"/>
        <w:spacing w:line="400" w:lineRule="exact"/>
        <w:ind w:left="403"/>
        <w:textAlignment w:val="auto"/>
        <w:rPr>
          <w:rFonts w:ascii="宋体" w:hAnsi="宋体" w:cs="宋体"/>
          <w:spacing w:val="-2"/>
          <w:sz w:val="24"/>
        </w:rPr>
      </w:pPr>
      <w:r>
        <w:rPr>
          <w:rFonts w:hint="eastAsia" w:ascii="宋体" w:hAnsi="宋体" w:cs="宋体"/>
          <w:spacing w:val="-2"/>
          <w:sz w:val="24"/>
        </w:rPr>
        <w:t>地址：佛山市禅城区季华五路10号金融广场17层A区之一</w:t>
      </w:r>
    </w:p>
    <w:p>
      <w:pPr>
        <w:keepNext w:val="0"/>
        <w:keepLines w:val="0"/>
        <w:pageBreakBefore w:val="0"/>
        <w:widowControl w:val="0"/>
        <w:kinsoku/>
        <w:wordWrap/>
        <w:overflowPunct/>
        <w:topLinePunct w:val="0"/>
        <w:autoSpaceDE/>
        <w:autoSpaceDN/>
        <w:bidi w:val="0"/>
        <w:adjustRightInd w:val="0"/>
        <w:snapToGrid w:val="0"/>
        <w:spacing w:line="400" w:lineRule="exact"/>
        <w:ind w:left="403"/>
        <w:textAlignment w:val="auto"/>
        <w:rPr>
          <w:rFonts w:ascii="宋体" w:hAnsi="宋体" w:cs="宋体"/>
          <w:spacing w:val="-2"/>
          <w:sz w:val="24"/>
        </w:rPr>
      </w:pPr>
      <w:r>
        <w:rPr>
          <w:rFonts w:hint="eastAsia" w:ascii="宋体" w:hAnsi="宋体" w:cs="宋体"/>
          <w:spacing w:val="-2"/>
          <w:sz w:val="24"/>
        </w:rPr>
        <w:t>联系方式：0757-833325</w:t>
      </w:r>
      <w:r>
        <w:rPr>
          <w:rFonts w:hint="eastAsia" w:ascii="宋体" w:hAnsi="宋体" w:cs="宋体"/>
          <w:spacing w:val="-2"/>
          <w:sz w:val="24"/>
          <w:lang w:val="en-US" w:eastAsia="zh-CN"/>
        </w:rPr>
        <w:t>1</w:t>
      </w:r>
      <w:r>
        <w:rPr>
          <w:rFonts w:hint="eastAsia" w:ascii="宋体" w:hAnsi="宋体" w:cs="宋体"/>
          <w:spacing w:val="-2"/>
          <w:sz w:val="24"/>
        </w:rPr>
        <w:t>8</w:t>
      </w:r>
    </w:p>
    <w:p>
      <w:pPr>
        <w:keepNext w:val="0"/>
        <w:keepLines w:val="0"/>
        <w:pageBreakBefore w:val="0"/>
        <w:widowControl w:val="0"/>
        <w:kinsoku/>
        <w:wordWrap/>
        <w:overflowPunct/>
        <w:topLinePunct w:val="0"/>
        <w:autoSpaceDE/>
        <w:autoSpaceDN/>
        <w:bidi w:val="0"/>
        <w:adjustRightInd w:val="0"/>
        <w:snapToGrid w:val="0"/>
        <w:spacing w:line="400" w:lineRule="exact"/>
        <w:ind w:left="403"/>
        <w:textAlignment w:val="auto"/>
        <w:rPr>
          <w:rFonts w:ascii="宋体" w:hAnsi="宋体" w:cs="宋体"/>
          <w:spacing w:val="-2"/>
          <w:sz w:val="24"/>
        </w:rPr>
      </w:pPr>
      <w:r>
        <w:rPr>
          <w:rFonts w:hint="eastAsia" w:ascii="宋体" w:hAnsi="宋体" w:cs="宋体"/>
          <w:spacing w:val="-2"/>
          <w:sz w:val="24"/>
        </w:rPr>
        <w:t>3</w:t>
      </w:r>
      <w:r>
        <w:rPr>
          <w:rFonts w:hint="eastAsia" w:ascii="宋体" w:hAnsi="宋体" w:cs="宋体"/>
          <w:spacing w:val="-2"/>
          <w:sz w:val="24"/>
          <w:lang w:eastAsia="zh-CN"/>
        </w:rPr>
        <w:t>、</w:t>
      </w:r>
      <w:r>
        <w:rPr>
          <w:rFonts w:hint="eastAsia" w:ascii="宋体" w:hAnsi="宋体" w:cs="宋体"/>
          <w:spacing w:val="-2"/>
          <w:sz w:val="24"/>
        </w:rPr>
        <w:t>项目联系方式</w:t>
      </w:r>
    </w:p>
    <w:p>
      <w:pPr>
        <w:keepNext w:val="0"/>
        <w:keepLines w:val="0"/>
        <w:pageBreakBefore w:val="0"/>
        <w:widowControl w:val="0"/>
        <w:kinsoku/>
        <w:wordWrap/>
        <w:overflowPunct/>
        <w:topLinePunct w:val="0"/>
        <w:autoSpaceDE/>
        <w:autoSpaceDN/>
        <w:bidi w:val="0"/>
        <w:adjustRightInd w:val="0"/>
        <w:snapToGrid w:val="0"/>
        <w:spacing w:line="400" w:lineRule="exact"/>
        <w:ind w:left="403"/>
        <w:textAlignment w:val="auto"/>
        <w:rPr>
          <w:rFonts w:hint="eastAsia" w:ascii="宋体" w:hAnsi="宋体" w:eastAsia="宋体" w:cs="宋体"/>
          <w:spacing w:val="-2"/>
          <w:sz w:val="24"/>
          <w:lang w:val="en-US" w:eastAsia="zh-CN"/>
        </w:rPr>
      </w:pPr>
      <w:r>
        <w:rPr>
          <w:rFonts w:hint="eastAsia" w:ascii="宋体" w:hAnsi="宋体" w:cs="宋体"/>
          <w:spacing w:val="-2"/>
          <w:sz w:val="24"/>
        </w:rPr>
        <w:t>项目联系人：</w:t>
      </w:r>
      <w:r>
        <w:rPr>
          <w:rFonts w:hint="eastAsia" w:ascii="宋体" w:hAnsi="宋体" w:cs="宋体"/>
          <w:spacing w:val="-2"/>
          <w:sz w:val="24"/>
          <w:lang w:val="en-US" w:eastAsia="zh-CN"/>
        </w:rPr>
        <w:t>苏小姐</w:t>
      </w:r>
    </w:p>
    <w:p>
      <w:pPr>
        <w:keepNext w:val="0"/>
        <w:keepLines w:val="0"/>
        <w:pageBreakBefore w:val="0"/>
        <w:widowControl w:val="0"/>
        <w:kinsoku/>
        <w:wordWrap/>
        <w:overflowPunct/>
        <w:topLinePunct w:val="0"/>
        <w:autoSpaceDE/>
        <w:autoSpaceDN/>
        <w:bidi w:val="0"/>
        <w:adjustRightInd w:val="0"/>
        <w:snapToGrid w:val="0"/>
        <w:spacing w:line="400" w:lineRule="exact"/>
        <w:ind w:left="403"/>
        <w:textAlignment w:val="auto"/>
        <w:rPr>
          <w:rFonts w:ascii="宋体" w:hAnsi="宋体" w:cs="宋体"/>
          <w:spacing w:val="-2"/>
          <w:sz w:val="24"/>
        </w:rPr>
      </w:pPr>
      <w:r>
        <w:rPr>
          <w:rFonts w:hint="eastAsia" w:ascii="宋体" w:hAnsi="宋体" w:cs="宋体"/>
          <w:spacing w:val="-2"/>
          <w:sz w:val="24"/>
        </w:rPr>
        <w:t>电话：0757-833325</w:t>
      </w:r>
      <w:r>
        <w:rPr>
          <w:rFonts w:hint="eastAsia" w:ascii="宋体" w:hAnsi="宋体" w:cs="宋体"/>
          <w:spacing w:val="-2"/>
          <w:sz w:val="24"/>
          <w:lang w:val="en-US" w:eastAsia="zh-CN"/>
        </w:rPr>
        <w:t>1</w:t>
      </w:r>
      <w:r>
        <w:rPr>
          <w:rFonts w:hint="eastAsia" w:ascii="宋体" w:hAnsi="宋体" w:cs="宋体"/>
          <w:spacing w:val="-2"/>
          <w:sz w:val="24"/>
        </w:rPr>
        <w:t>8</w:t>
      </w:r>
    </w:p>
    <w:p>
      <w:pPr>
        <w:keepNext w:val="0"/>
        <w:keepLines w:val="0"/>
        <w:pageBreakBefore/>
        <w:widowControl w:val="0"/>
        <w:kinsoku/>
        <w:wordWrap/>
        <w:overflowPunct/>
        <w:topLinePunct w:val="0"/>
        <w:autoSpaceDE/>
        <w:autoSpaceDN/>
        <w:bidi w:val="0"/>
        <w:adjustRightInd/>
        <w:snapToGrid/>
        <w:spacing w:line="216" w:lineRule="auto"/>
        <w:jc w:val="center"/>
        <w:textAlignment w:val="auto"/>
        <w:outlineLvl w:val="9"/>
        <w:rPr>
          <w:rFonts w:hint="eastAsia"/>
          <w:kern w:val="0"/>
          <w:sz w:val="52"/>
          <w:szCs w:val="20"/>
        </w:rPr>
      </w:pPr>
    </w:p>
    <w:p>
      <w:pPr>
        <w:keepNext w:val="0"/>
        <w:keepLines w:val="0"/>
        <w:pageBreakBefore w:val="0"/>
        <w:widowControl w:val="0"/>
        <w:kinsoku/>
        <w:wordWrap/>
        <w:overflowPunct/>
        <w:topLinePunct w:val="0"/>
        <w:autoSpaceDE/>
        <w:autoSpaceDN/>
        <w:bidi w:val="0"/>
        <w:adjustRightInd/>
        <w:snapToGrid/>
        <w:spacing w:line="216" w:lineRule="auto"/>
        <w:jc w:val="center"/>
        <w:textAlignment w:val="auto"/>
        <w:outlineLvl w:val="9"/>
        <w:rPr>
          <w:rFonts w:hint="eastAsia"/>
          <w:kern w:val="0"/>
          <w:sz w:val="52"/>
          <w:szCs w:val="20"/>
        </w:rPr>
      </w:pPr>
    </w:p>
    <w:p>
      <w:pPr>
        <w:keepNext w:val="0"/>
        <w:keepLines w:val="0"/>
        <w:pageBreakBefore w:val="0"/>
        <w:widowControl w:val="0"/>
        <w:kinsoku/>
        <w:wordWrap/>
        <w:overflowPunct/>
        <w:topLinePunct w:val="0"/>
        <w:autoSpaceDE/>
        <w:autoSpaceDN/>
        <w:bidi w:val="0"/>
        <w:adjustRightInd/>
        <w:snapToGrid/>
        <w:spacing w:line="216" w:lineRule="auto"/>
        <w:jc w:val="center"/>
        <w:textAlignment w:val="auto"/>
        <w:outlineLvl w:val="9"/>
        <w:rPr>
          <w:rFonts w:hint="eastAsia"/>
          <w:kern w:val="0"/>
          <w:sz w:val="52"/>
          <w:szCs w:val="20"/>
        </w:rPr>
      </w:pPr>
    </w:p>
    <w:p>
      <w:pPr>
        <w:keepNext w:val="0"/>
        <w:keepLines w:val="0"/>
        <w:pageBreakBefore w:val="0"/>
        <w:widowControl w:val="0"/>
        <w:kinsoku/>
        <w:wordWrap/>
        <w:overflowPunct/>
        <w:topLinePunct w:val="0"/>
        <w:autoSpaceDE/>
        <w:autoSpaceDN/>
        <w:bidi w:val="0"/>
        <w:adjustRightInd/>
        <w:snapToGrid/>
        <w:spacing w:line="216" w:lineRule="auto"/>
        <w:jc w:val="center"/>
        <w:textAlignment w:val="auto"/>
        <w:outlineLvl w:val="9"/>
        <w:rPr>
          <w:rFonts w:hint="eastAsia"/>
          <w:kern w:val="0"/>
          <w:sz w:val="52"/>
          <w:szCs w:val="20"/>
        </w:rPr>
      </w:pPr>
    </w:p>
    <w:p>
      <w:pPr>
        <w:keepNext w:val="0"/>
        <w:keepLines w:val="0"/>
        <w:pageBreakBefore w:val="0"/>
        <w:widowControl w:val="0"/>
        <w:kinsoku/>
        <w:wordWrap/>
        <w:overflowPunct/>
        <w:topLinePunct w:val="0"/>
        <w:autoSpaceDE/>
        <w:autoSpaceDN/>
        <w:bidi w:val="0"/>
        <w:adjustRightInd/>
        <w:snapToGrid/>
        <w:spacing w:line="216" w:lineRule="auto"/>
        <w:jc w:val="center"/>
        <w:textAlignment w:val="auto"/>
        <w:outlineLvl w:val="9"/>
        <w:rPr>
          <w:rFonts w:hint="eastAsia"/>
          <w:kern w:val="0"/>
          <w:sz w:val="52"/>
          <w:szCs w:val="20"/>
        </w:rPr>
      </w:pPr>
    </w:p>
    <w:p>
      <w:pPr>
        <w:keepNext w:val="0"/>
        <w:keepLines w:val="0"/>
        <w:pageBreakBefore w:val="0"/>
        <w:widowControl w:val="0"/>
        <w:kinsoku/>
        <w:wordWrap/>
        <w:overflowPunct/>
        <w:topLinePunct w:val="0"/>
        <w:autoSpaceDE/>
        <w:autoSpaceDN/>
        <w:bidi w:val="0"/>
        <w:adjustRightInd/>
        <w:snapToGrid/>
        <w:spacing w:line="216" w:lineRule="auto"/>
        <w:jc w:val="center"/>
        <w:textAlignment w:val="auto"/>
        <w:outlineLvl w:val="9"/>
        <w:rPr>
          <w:rFonts w:hint="eastAsia"/>
          <w:kern w:val="0"/>
          <w:sz w:val="52"/>
          <w:szCs w:val="20"/>
        </w:rPr>
      </w:pPr>
    </w:p>
    <w:p>
      <w:pPr>
        <w:keepNext w:val="0"/>
        <w:keepLines w:val="0"/>
        <w:pageBreakBefore w:val="0"/>
        <w:widowControl w:val="0"/>
        <w:kinsoku/>
        <w:wordWrap/>
        <w:overflowPunct/>
        <w:topLinePunct w:val="0"/>
        <w:autoSpaceDE/>
        <w:autoSpaceDN/>
        <w:bidi w:val="0"/>
        <w:adjustRightInd/>
        <w:snapToGrid/>
        <w:spacing w:line="216" w:lineRule="auto"/>
        <w:jc w:val="center"/>
        <w:textAlignment w:val="auto"/>
        <w:outlineLvl w:val="9"/>
        <w:rPr>
          <w:rFonts w:hint="eastAsia"/>
          <w:kern w:val="0"/>
          <w:sz w:val="52"/>
          <w:szCs w:val="20"/>
        </w:rPr>
      </w:pPr>
    </w:p>
    <w:p>
      <w:pPr>
        <w:keepNext w:val="0"/>
        <w:keepLines w:val="0"/>
        <w:pageBreakBefore w:val="0"/>
        <w:widowControl w:val="0"/>
        <w:kinsoku/>
        <w:wordWrap/>
        <w:overflowPunct/>
        <w:topLinePunct w:val="0"/>
        <w:autoSpaceDE/>
        <w:autoSpaceDN/>
        <w:bidi w:val="0"/>
        <w:adjustRightInd/>
        <w:snapToGrid/>
        <w:spacing w:line="216" w:lineRule="auto"/>
        <w:jc w:val="center"/>
        <w:textAlignment w:val="auto"/>
        <w:outlineLvl w:val="9"/>
        <w:rPr>
          <w:rFonts w:hint="eastAsia"/>
          <w:kern w:val="0"/>
          <w:sz w:val="52"/>
          <w:szCs w:val="20"/>
        </w:rPr>
      </w:pPr>
    </w:p>
    <w:p>
      <w:pPr>
        <w:keepNext w:val="0"/>
        <w:keepLines w:val="0"/>
        <w:pageBreakBefore w:val="0"/>
        <w:widowControl w:val="0"/>
        <w:kinsoku/>
        <w:wordWrap/>
        <w:overflowPunct/>
        <w:topLinePunct w:val="0"/>
        <w:autoSpaceDE/>
        <w:autoSpaceDN/>
        <w:bidi w:val="0"/>
        <w:adjustRightInd/>
        <w:snapToGrid/>
        <w:spacing w:line="216" w:lineRule="auto"/>
        <w:jc w:val="center"/>
        <w:textAlignment w:val="auto"/>
        <w:outlineLvl w:val="9"/>
        <w:rPr>
          <w:rFonts w:hint="eastAsia"/>
          <w:kern w:val="0"/>
          <w:sz w:val="52"/>
          <w:szCs w:val="20"/>
        </w:rPr>
      </w:pPr>
    </w:p>
    <w:p>
      <w:pPr>
        <w:keepNext w:val="0"/>
        <w:keepLines w:val="0"/>
        <w:pageBreakBefore w:val="0"/>
        <w:widowControl w:val="0"/>
        <w:kinsoku/>
        <w:wordWrap/>
        <w:overflowPunct/>
        <w:topLinePunct w:val="0"/>
        <w:autoSpaceDE/>
        <w:autoSpaceDN/>
        <w:bidi w:val="0"/>
        <w:adjustRightInd/>
        <w:snapToGrid/>
        <w:spacing w:line="216" w:lineRule="auto"/>
        <w:jc w:val="center"/>
        <w:textAlignment w:val="auto"/>
        <w:outlineLvl w:val="9"/>
        <w:rPr>
          <w:rFonts w:hint="eastAsia"/>
          <w:kern w:val="0"/>
          <w:sz w:val="52"/>
          <w:szCs w:val="20"/>
        </w:rPr>
      </w:pPr>
    </w:p>
    <w:p>
      <w:pPr>
        <w:spacing w:line="216" w:lineRule="auto"/>
        <w:jc w:val="center"/>
        <w:outlineLvl w:val="0"/>
        <w:rPr>
          <w:kern w:val="0"/>
          <w:sz w:val="52"/>
          <w:szCs w:val="20"/>
        </w:rPr>
      </w:pPr>
      <w:bookmarkStart w:id="54" w:name="_Toc27287"/>
      <w:r>
        <w:rPr>
          <w:rFonts w:hint="eastAsia"/>
          <w:kern w:val="0"/>
          <w:sz w:val="52"/>
          <w:szCs w:val="20"/>
        </w:rPr>
        <w:t>第二部分 采购项目</w:t>
      </w:r>
      <w:bookmarkEnd w:id="23"/>
      <w:bookmarkEnd w:id="24"/>
      <w:r>
        <w:rPr>
          <w:rFonts w:hint="eastAsia"/>
          <w:kern w:val="0"/>
          <w:sz w:val="52"/>
          <w:szCs w:val="20"/>
        </w:rPr>
        <w:t>内容</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54"/>
    </w:p>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3"/>
        <w:pageBreakBefore/>
        <w:numPr>
          <w:ilvl w:val="1"/>
          <w:numId w:val="1"/>
        </w:numPr>
      </w:pPr>
      <w:bookmarkStart w:id="55" w:name="_Toc16777"/>
      <w:bookmarkStart w:id="56" w:name="_Toc4577"/>
      <w:bookmarkStart w:id="57" w:name="_Toc24870"/>
      <w:bookmarkStart w:id="58" w:name="_Toc3416"/>
      <w:bookmarkStart w:id="59" w:name="_Toc1069"/>
      <w:bookmarkStart w:id="60" w:name="_Toc28576"/>
      <w:bookmarkStart w:id="61" w:name="_Toc27789"/>
      <w:bookmarkStart w:id="62" w:name="_Toc8477"/>
      <w:bookmarkStart w:id="63" w:name="_Toc541"/>
      <w:bookmarkStart w:id="64" w:name="_Toc20900"/>
      <w:bookmarkStart w:id="65" w:name="_Toc28655"/>
      <w:bookmarkStart w:id="66" w:name="_Toc18410"/>
      <w:bookmarkStart w:id="67" w:name="_Toc29531"/>
      <w:bookmarkStart w:id="68" w:name="_Toc525312041"/>
      <w:bookmarkStart w:id="69" w:name="_Toc419106554"/>
      <w:bookmarkStart w:id="70" w:name="_Toc49329251"/>
      <w:bookmarkStart w:id="71" w:name="_Toc24862"/>
      <w:bookmarkStart w:id="72" w:name="_Toc259803660"/>
      <w:bookmarkStart w:id="73" w:name="_Toc373767190"/>
      <w:bookmarkStart w:id="74" w:name="_Toc310519877"/>
      <w:bookmarkStart w:id="75" w:name="_Toc325031933"/>
      <w:bookmarkStart w:id="76" w:name="_Toc113157420"/>
      <w:r>
        <w:rPr>
          <w:rFonts w:ascii="Times New Roman" w:hAnsi="Times New Roman"/>
          <w:color w:val="auto"/>
          <w:sz w:val="32"/>
        </w:rPr>
        <w:fldChar w:fldCharType="begin"/>
      </w:r>
      <w:r>
        <w:rPr>
          <w:rFonts w:hint="eastAsia" w:ascii="Times New Roman" w:hAnsi="Times New Roman"/>
          <w:color w:val="auto"/>
          <w:sz w:val="32"/>
        </w:rPr>
        <w:instrText xml:space="preserve">DOCVARIABLE  技术要求开始  \* MERGEFORMAT</w:instrText>
      </w:r>
      <w:r>
        <w:rPr>
          <w:rFonts w:ascii="Times New Roman" w:hAnsi="Times New Roman"/>
          <w:color w:val="auto"/>
          <w:sz w:val="32"/>
        </w:rPr>
        <w:fldChar w:fldCharType="end"/>
      </w:r>
      <w:bookmarkStart w:id="77" w:name="_Toc525311883"/>
      <w:r>
        <w:rPr>
          <w:rFonts w:hint="eastAsia" w:ascii="Times New Roman" w:hAnsi="Times New Roman"/>
          <w:color w:val="auto"/>
          <w:sz w:val="32"/>
        </w:rPr>
        <w:t>采购项目技术要求</w:t>
      </w:r>
      <w:bookmarkEnd w:id="55"/>
      <w:bookmarkEnd w:id="56"/>
      <w:bookmarkEnd w:id="57"/>
      <w:bookmarkEnd w:id="58"/>
      <w:bookmarkEnd w:id="59"/>
      <w:bookmarkEnd w:id="60"/>
      <w:bookmarkEnd w:id="61"/>
      <w:bookmarkEnd w:id="62"/>
      <w:bookmarkEnd w:id="63"/>
      <w:bookmarkEnd w:id="64"/>
      <w:bookmarkEnd w:id="65"/>
      <w:bookmarkEnd w:id="66"/>
      <w:bookmarkEnd w:id="67"/>
      <w:bookmarkEnd w:id="77"/>
      <w:bookmarkStart w:id="78" w:name="_Toc1938"/>
      <w:bookmarkStart w:id="79" w:name="_Toc16251"/>
      <w:bookmarkStart w:id="80" w:name="_Toc32298"/>
      <w:bookmarkStart w:id="81" w:name="_Toc6553"/>
      <w:bookmarkStart w:id="82" w:name="_Toc20019"/>
      <w:bookmarkStart w:id="83" w:name="_Toc4027"/>
      <w:bookmarkStart w:id="84" w:name="_Toc20881"/>
      <w:bookmarkStart w:id="85" w:name="_Toc3112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ascii="宋体" w:hAnsi="宋体"/>
          <w:b/>
          <w:sz w:val="24"/>
          <w:szCs w:val="24"/>
        </w:rPr>
      </w:pPr>
      <w:r>
        <w:rPr>
          <w:rFonts w:hint="eastAsia" w:ascii="宋体" w:hAnsi="宋体"/>
          <w:b/>
          <w:sz w:val="24"/>
          <w:szCs w:val="24"/>
          <w:lang w:eastAsia="zh-CN"/>
        </w:rPr>
        <w:t>（一）</w:t>
      </w:r>
      <w:r>
        <w:rPr>
          <w:rFonts w:hint="eastAsia" w:ascii="宋体" w:hAnsi="宋体"/>
          <w:b/>
          <w:sz w:val="24"/>
          <w:szCs w:val="24"/>
        </w:rPr>
        <w:t>项目概况</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1、项目名称：</w:t>
      </w:r>
      <w:r>
        <w:rPr>
          <w:rFonts w:hint="eastAsia" w:ascii="宋体" w:hAnsi="宋体" w:cs="宋体"/>
          <w:spacing w:val="1"/>
          <w:sz w:val="24"/>
          <w:szCs w:val="24"/>
          <w:lang w:eastAsia="zh-CN"/>
        </w:rPr>
        <w:t>佛山市公安局铺设电缆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sz w:val="24"/>
          <w:szCs w:val="24"/>
          <w:highlight w:val="none"/>
          <w:lang w:val="en-US" w:eastAsia="zh-CN"/>
        </w:rPr>
        <w:t>2、</w:t>
      </w:r>
      <w:r>
        <w:rPr>
          <w:rFonts w:hint="eastAsia" w:ascii="宋体" w:hAnsi="宋体" w:eastAsia="宋体" w:cs="宋体"/>
          <w:color w:val="auto"/>
          <w:sz w:val="24"/>
          <w:szCs w:val="24"/>
          <w:highlight w:val="none"/>
        </w:rPr>
        <w:t>建设地点</w:t>
      </w:r>
      <w:r>
        <w:rPr>
          <w:rFonts w:hint="eastAsia" w:ascii="宋体" w:hAnsi="宋体" w:eastAsia="宋体" w:cs="宋体"/>
          <w:color w:val="auto"/>
          <w:sz w:val="24"/>
          <w:szCs w:val="24"/>
          <w:highlight w:val="none"/>
          <w:lang w:eastAsia="zh-CN"/>
        </w:rPr>
        <w:t>：</w:t>
      </w:r>
      <w:r>
        <w:rPr>
          <w:rFonts w:hint="eastAsia" w:ascii="宋体" w:hAnsi="宋体" w:cs="宋体"/>
          <w:spacing w:val="2"/>
          <w:sz w:val="24"/>
        </w:rPr>
        <w:t>佛山市110城市应急指挥中心</w:t>
      </w:r>
      <w:r>
        <w:rPr>
          <w:rFonts w:hint="eastAsia" w:ascii="宋体" w:hAnsi="宋体" w:eastAsia="宋体" w:cs="宋体"/>
          <w:sz w:val="24"/>
          <w:szCs w:val="24"/>
          <w:highlight w:val="none"/>
          <w:lang w:val="en-US" w:eastAsia="zh-CN"/>
        </w:rPr>
        <w:t>大楼营区西停车场东侧</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工程概况</w:t>
      </w:r>
      <w:r>
        <w:rPr>
          <w:rFonts w:hint="eastAsia" w:ascii="宋体" w:hAnsi="宋体" w:eastAsia="宋体" w:cs="宋体"/>
          <w:color w:val="auto"/>
          <w:sz w:val="24"/>
          <w:szCs w:val="24"/>
          <w:highlight w:val="none"/>
          <w:lang w:eastAsia="zh-CN"/>
        </w:rPr>
        <w:t>：主要工程内容为</w:t>
      </w:r>
      <w:r>
        <w:rPr>
          <w:rFonts w:hint="eastAsia" w:ascii="宋体" w:hAnsi="宋体" w:cs="宋体"/>
          <w:sz w:val="24"/>
          <w:szCs w:val="24"/>
          <w:highlight w:val="none"/>
          <w:lang w:eastAsia="zh-CN"/>
        </w:rPr>
        <w:t>佛山市公安局铺设电缆</w:t>
      </w:r>
      <w:r>
        <w:rPr>
          <w:rFonts w:hint="eastAsia" w:ascii="宋体" w:hAnsi="宋体" w:eastAsia="宋体" w:cs="宋体"/>
          <w:color w:val="auto"/>
          <w:sz w:val="24"/>
          <w:szCs w:val="24"/>
          <w:highlight w:val="none"/>
          <w:lang w:eastAsia="zh-CN"/>
        </w:rPr>
        <w:t>。</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eastAsia="宋体" w:cs="宋体"/>
          <w:color w:val="auto"/>
          <w:sz w:val="24"/>
          <w:szCs w:val="24"/>
          <w:highlight w:val="none"/>
          <w:lang w:val="en-US" w:eastAsia="zh-CN"/>
        </w:rPr>
        <w:t>主要内容：</w:t>
      </w:r>
      <w:r>
        <w:rPr>
          <w:rFonts w:hint="eastAsia" w:ascii="宋体" w:hAnsi="宋体" w:eastAsia="宋体" w:cs="宋体"/>
          <w:sz w:val="24"/>
          <w:szCs w:val="24"/>
          <w:highlight w:val="none"/>
          <w:lang w:val="en-US" w:eastAsia="zh-CN"/>
        </w:rPr>
        <w:t>投入快充桩一套（两充口），慢充</w:t>
      </w:r>
      <w:bookmarkStart w:id="1554" w:name="_GoBack"/>
      <w:bookmarkEnd w:id="1554"/>
      <w:r>
        <w:rPr>
          <w:rFonts w:hint="eastAsia" w:ascii="宋体" w:hAnsi="宋体" w:eastAsia="宋体" w:cs="宋体"/>
          <w:sz w:val="24"/>
          <w:szCs w:val="24"/>
          <w:highlight w:val="none"/>
          <w:lang w:val="en-US" w:eastAsia="zh-CN"/>
        </w:rPr>
        <w:t>桩八套，建成可同时满足十台车使用</w:t>
      </w:r>
      <w:r>
        <w:rPr>
          <w:rFonts w:hint="eastAsia" w:ascii="宋体" w:hAnsi="宋体" w:cs="宋体"/>
          <w:sz w:val="24"/>
          <w:szCs w:val="24"/>
          <w:highlight w:val="none"/>
          <w:lang w:val="en-US" w:eastAsia="zh-CN"/>
        </w:rPr>
        <w:t>。</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）安装工程：</w:t>
      </w:r>
      <w:r>
        <w:rPr>
          <w:rFonts w:hint="eastAsia" w:ascii="宋体" w:hAnsi="宋体" w:eastAsia="宋体" w:cs="宋体"/>
          <w:sz w:val="24"/>
          <w:szCs w:val="24"/>
          <w:highlight w:val="none"/>
          <w:lang w:val="en-US" w:eastAsia="zh-CN"/>
        </w:rPr>
        <w:t>电缆铺设等详见工程量清单</w:t>
      </w:r>
      <w:r>
        <w:rPr>
          <w:rFonts w:hint="eastAsia" w:ascii="宋体" w:hAnsi="宋体" w:eastAsia="宋体" w:cs="宋体"/>
          <w:color w:val="auto"/>
          <w:sz w:val="24"/>
          <w:szCs w:val="24"/>
          <w:highlight w:val="none"/>
          <w:lang w:eastAsia="zh-CN"/>
        </w:rPr>
        <w:t>。</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工程内容</w:t>
      </w:r>
      <w:r>
        <w:rPr>
          <w:rFonts w:hint="eastAsia" w:ascii="宋体" w:hAnsi="宋体" w:eastAsia="宋体" w:cs="宋体"/>
          <w:color w:val="auto"/>
          <w:sz w:val="24"/>
          <w:szCs w:val="24"/>
          <w:highlight w:val="none"/>
          <w:lang w:eastAsia="zh-CN"/>
        </w:rPr>
        <w:t>：详见图纸及工程量清单</w:t>
      </w:r>
      <w:r>
        <w:rPr>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踏勘现场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不组织，由供应商自行踏勘。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质量要求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rPr>
        <w:t>执行国家、省或行业现行的工程建设质量验收标准及规范，</w:t>
      </w:r>
      <w:r>
        <w:rPr>
          <w:rFonts w:hint="eastAsia" w:ascii="宋体" w:hAnsi="宋体" w:eastAsia="宋体" w:cs="宋体"/>
          <w:color w:val="auto"/>
          <w:kern w:val="0"/>
          <w:sz w:val="24"/>
          <w:szCs w:val="24"/>
          <w:highlight w:val="none"/>
          <w:lang w:eastAsia="zh-CN"/>
        </w:rPr>
        <w:t>应</w:t>
      </w:r>
      <w:r>
        <w:rPr>
          <w:rFonts w:hint="eastAsia" w:ascii="宋体" w:hAnsi="宋体" w:eastAsia="宋体" w:cs="宋体"/>
          <w:color w:val="auto"/>
          <w:kern w:val="0"/>
          <w:sz w:val="24"/>
          <w:szCs w:val="24"/>
          <w:highlight w:val="none"/>
        </w:rPr>
        <w:t>达到</w:t>
      </w:r>
      <w:r>
        <w:rPr>
          <w:rFonts w:hint="eastAsia" w:ascii="宋体" w:hAnsi="宋体" w:eastAsia="宋体" w:cs="宋体"/>
          <w:color w:val="auto"/>
          <w:sz w:val="24"/>
          <w:szCs w:val="24"/>
          <w:highlight w:val="none"/>
        </w:rPr>
        <w:t>国家、省或行业现行的工程建设质量</w:t>
      </w:r>
      <w:r>
        <w:rPr>
          <w:rFonts w:hint="eastAsia" w:ascii="宋体" w:hAnsi="宋体" w:eastAsia="宋体" w:cs="宋体"/>
          <w:color w:val="auto"/>
          <w:kern w:val="0"/>
          <w:sz w:val="24"/>
          <w:szCs w:val="24"/>
          <w:highlight w:val="none"/>
        </w:rPr>
        <w:t>验收质量等级</w:t>
      </w:r>
      <w:r>
        <w:rPr>
          <w:rFonts w:hint="eastAsia" w:ascii="宋体" w:hAnsi="宋体" w:eastAsia="宋体" w:cs="宋体"/>
          <w:color w:val="auto"/>
          <w:kern w:val="0"/>
          <w:sz w:val="24"/>
          <w:szCs w:val="24"/>
          <w:highlight w:val="none"/>
          <w:lang w:eastAsia="zh-CN"/>
        </w:rPr>
        <w:t>合格</w:t>
      </w:r>
      <w:r>
        <w:rPr>
          <w:rFonts w:hint="eastAsia" w:ascii="宋体" w:hAnsi="宋体" w:eastAsia="宋体" w:cs="宋体"/>
          <w:color w:val="auto"/>
          <w:kern w:val="0"/>
          <w:sz w:val="24"/>
          <w:szCs w:val="24"/>
          <w:highlight w:val="none"/>
        </w:rPr>
        <w:t>标准。</w:t>
      </w:r>
    </w:p>
    <w:p>
      <w:pPr>
        <w:pStyle w:val="9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安全、文明施工要求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符合国家、省、市安全生产、文明施工管理相关规定。</w:t>
      </w:r>
    </w:p>
    <w:p>
      <w:pPr>
        <w:pStyle w:val="99"/>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承包方式</w:t>
      </w:r>
      <w:r>
        <w:rPr>
          <w:rFonts w:hint="eastAsia" w:ascii="宋体" w:hAnsi="宋体" w:eastAsia="宋体" w:cs="宋体"/>
          <w:color w:val="auto"/>
          <w:sz w:val="24"/>
          <w:szCs w:val="24"/>
          <w:highlight w:val="none"/>
          <w:lang w:eastAsia="zh-CN"/>
        </w:rPr>
        <w:t>：综合单价包干</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包工、包料、包工期、包安全、包文明施工。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b/>
          <w:sz w:val="24"/>
          <w:szCs w:val="24"/>
          <w:highlight w:val="none"/>
          <w:lang w:eastAsia="zh-CN"/>
        </w:rPr>
      </w:pPr>
      <w:r>
        <w:rPr>
          <w:rFonts w:hint="eastAsia" w:ascii="宋体" w:hAnsi="宋体"/>
          <w:b/>
          <w:sz w:val="24"/>
          <w:szCs w:val="24"/>
          <w:highlight w:val="none"/>
          <w:lang w:eastAsia="zh-CN"/>
        </w:rPr>
        <w:t>（二）施工要求</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1、成交供应商在施工过程中应做好原场地及设备的保护工作，并在验收交付使用前对已破坏的场地进行恢复。</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、成交供应商</w:t>
      </w:r>
      <w:r>
        <w:rPr>
          <w:rFonts w:hint="eastAsia" w:ascii="宋体" w:hAnsi="宋体" w:cs="宋体"/>
          <w:sz w:val="24"/>
          <w:szCs w:val="24"/>
          <w:lang w:val="en-US" w:eastAsia="zh-CN"/>
        </w:rPr>
        <w:t>施工</w:t>
      </w:r>
      <w:r>
        <w:rPr>
          <w:rFonts w:hint="eastAsia" w:ascii="宋体" w:hAnsi="宋体" w:eastAsia="宋体" w:cs="宋体"/>
          <w:sz w:val="24"/>
          <w:szCs w:val="24"/>
          <w:lang w:val="en-US" w:eastAsia="zh-CN"/>
        </w:rPr>
        <w:t>期间产生的建筑垃圾、组成建（构）筑物的原材料等须按照采购人及有关规定的要求处理，如由于成交供应商私自不当处理产生的一切损失及赔偿均由成交供应商承担。产生的建筑垃圾、组成建（构）筑物的原材料等需要外运消纳的，成交供应商须运输至合法消纳场地进行消纳，外运及消纳过程中的一切责任均由成交供应商承担。相关费用已包含在综合单价中，由供应商自行在报价时综合考虑。</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 xml:space="preserve">、成交供应商负责拆除工程现场安全、交通、环境卫生等责任，承担质量安全事故造成的一切损失，协助所拆区域有关部门或单位做好拆除范围内的治安管理工作。 </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、成交供应商不得将</w:t>
      </w:r>
      <w:r>
        <w:rPr>
          <w:rFonts w:hint="eastAsia" w:ascii="宋体" w:hAnsi="宋体" w:cs="宋体"/>
          <w:sz w:val="24"/>
          <w:szCs w:val="24"/>
          <w:lang w:val="en-US" w:eastAsia="zh-CN"/>
        </w:rPr>
        <w:t>项目</w:t>
      </w:r>
      <w:r>
        <w:rPr>
          <w:rFonts w:hint="eastAsia" w:ascii="宋体" w:hAnsi="宋体" w:eastAsia="宋体" w:cs="宋体"/>
          <w:sz w:val="24"/>
          <w:szCs w:val="24"/>
          <w:lang w:val="en-US" w:eastAsia="zh-CN"/>
        </w:rPr>
        <w:t xml:space="preserve">转包和违法分包给第三方，否则由此引起的全部责任由成交供应商承担，采购人有权终止合同，并可同时要求成交供应商承担违约责任以及赔偿损失。 </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 xml:space="preserve">、成交供应商应及时发现和报告突发事件，保证及时负责处理该事件，遇到重大突发事件（包括台风、暴雨、极端天气等），应及时采取措施避免事件扩大，并配合采购人等政府职能部门及时处理。 </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 xml:space="preserve">、成交供应商自行负责办理有关施工场地环卫、施工噪音管理及夜间超时施工报审及临建报审工作。 </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、成交供应商应严格按照施工方案和安全防范措施要求进行施工，做到文明施工，做好安全防范工作，并按采购人提供的拆除施工范围进行围蔽施工，其费用由成交供应商负责。</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8</w:t>
      </w:r>
      <w:r>
        <w:rPr>
          <w:rFonts w:hint="eastAsia" w:ascii="宋体" w:hAnsi="宋体" w:eastAsia="宋体" w:cs="宋体"/>
          <w:sz w:val="24"/>
          <w:szCs w:val="24"/>
          <w:lang w:val="en-US" w:eastAsia="zh-CN"/>
        </w:rPr>
        <w:t>、从采购人将施工场地移交给成交供应商之日起，现场的保卫工作由成交供应商负责。如有财物遗失、被盗等与采购人无关。</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9</w:t>
      </w:r>
      <w:r>
        <w:rPr>
          <w:rFonts w:hint="eastAsia" w:ascii="宋体" w:hAnsi="宋体" w:eastAsia="宋体" w:cs="宋体"/>
          <w:sz w:val="24"/>
          <w:szCs w:val="24"/>
          <w:lang w:val="en-US" w:eastAsia="zh-CN"/>
        </w:rPr>
        <w:t>、成交供应商所有施工人员必须佩戴工作证上岗，且必须统一容易识别的安全防护服饰及安全帽等。</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10</w:t>
      </w:r>
      <w:r>
        <w:rPr>
          <w:rFonts w:hint="eastAsia" w:ascii="宋体" w:hAnsi="宋体" w:eastAsia="宋体" w:cs="宋体"/>
          <w:sz w:val="24"/>
          <w:szCs w:val="24"/>
          <w:lang w:val="en-US" w:eastAsia="zh-CN"/>
        </w:rPr>
        <w:t>、成交供应商必须根据本项目的设计、施工的需要，向保险公司投保各种必要的保险，并自行承担保险费。未办理保险所造成的损失由成交供应商自行承担。</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ascii="宋体" w:hAnsi="宋体" w:cs="宋体"/>
          <w:sz w:val="24"/>
          <w:szCs w:val="24"/>
          <w:lang w:val="en-US" w:eastAsia="zh-CN"/>
        </w:rPr>
        <w:t>11、</w:t>
      </w:r>
      <w:r>
        <w:rPr>
          <w:rFonts w:hint="eastAsia" w:ascii="宋体" w:hAnsi="宋体" w:eastAsia="宋体" w:cs="宋体"/>
          <w:sz w:val="24"/>
          <w:szCs w:val="24"/>
          <w:lang w:val="en-US" w:eastAsia="zh-CN"/>
        </w:rPr>
        <w:t>成交供应商</w:t>
      </w:r>
      <w:r>
        <w:rPr>
          <w:rFonts w:hint="eastAsia" w:ascii="宋体" w:hAnsi="宋体" w:cs="宋体"/>
          <w:sz w:val="24"/>
          <w:szCs w:val="24"/>
          <w:lang w:val="en-US" w:eastAsia="zh-CN"/>
        </w:rPr>
        <w:t>应</w:t>
      </w:r>
      <w:r>
        <w:rPr>
          <w:rFonts w:hint="eastAsia" w:ascii="宋体" w:hAnsi="宋体" w:eastAsia="宋体" w:cs="宋体"/>
          <w:sz w:val="24"/>
          <w:szCs w:val="24"/>
          <w:lang w:val="en-US" w:eastAsia="zh-CN"/>
        </w:rPr>
        <w:t>具有承担本项目相关的经验</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能力</w:t>
      </w:r>
      <w:r>
        <w:rPr>
          <w:rFonts w:hint="eastAsia" w:ascii="宋体" w:hAnsi="宋体" w:cs="宋体"/>
          <w:sz w:val="24"/>
          <w:szCs w:val="24"/>
          <w:lang w:val="en-US" w:eastAsia="zh-CN"/>
        </w:rPr>
        <w:t>、人员，同时具有突发情况的应急响应能力。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4"/>
          <w:szCs w:val="24"/>
          <w:lang w:val="en-US" w:eastAsia="zh-CN"/>
        </w:rPr>
      </w:pPr>
      <w:r>
        <w:rPr>
          <w:rFonts w:hint="eastAsia" w:ascii="宋体" w:hAnsi="宋体" w:eastAsia="宋体" w:cs="Times New Roman"/>
          <w:b/>
          <w:sz w:val="24"/>
          <w:szCs w:val="24"/>
          <w:lang w:val="en-US" w:eastAsia="zh-CN"/>
        </w:rPr>
        <w:t xml:space="preserve">（三）人员要求 </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在</w:t>
      </w:r>
      <w:r>
        <w:rPr>
          <w:rFonts w:hint="eastAsia" w:ascii="宋体" w:hAnsi="宋体" w:cs="宋体"/>
          <w:sz w:val="24"/>
          <w:szCs w:val="24"/>
          <w:highlight w:val="none"/>
          <w:lang w:val="en-US" w:eastAsia="zh-CN"/>
        </w:rPr>
        <w:t>项目施工</w:t>
      </w:r>
      <w:r>
        <w:rPr>
          <w:rFonts w:hint="eastAsia" w:ascii="宋体" w:hAnsi="宋体" w:eastAsia="宋体" w:cs="宋体"/>
          <w:sz w:val="24"/>
          <w:szCs w:val="24"/>
          <w:highlight w:val="none"/>
          <w:lang w:val="en-US" w:eastAsia="zh-CN"/>
        </w:rPr>
        <w:t>时，存在电路作业等危险作业，成交供应商需为本项目投入电工作业人员。</w:t>
      </w:r>
    </w:p>
    <w:p>
      <w:pPr>
        <w:pStyle w:val="3"/>
        <w:pageBreakBefore/>
        <w:numPr>
          <w:ilvl w:val="1"/>
          <w:numId w:val="1"/>
        </w:numPr>
        <w:rPr>
          <w:rFonts w:ascii="Times New Roman" w:hAnsi="Times New Roman"/>
          <w:color w:val="auto"/>
          <w:sz w:val="32"/>
        </w:rPr>
      </w:pPr>
      <w:bookmarkStart w:id="86" w:name="_Toc19852"/>
      <w:bookmarkStart w:id="87" w:name="_Toc751"/>
      <w:bookmarkStart w:id="88" w:name="_Toc21199"/>
      <w:bookmarkStart w:id="89" w:name="_Toc13492"/>
      <w:bookmarkStart w:id="90" w:name="_Toc1924"/>
      <w:r>
        <w:rPr>
          <w:rFonts w:ascii="Times New Roman" w:hAnsi="Times New Roman"/>
          <w:color w:val="auto"/>
          <w:sz w:val="32"/>
        </w:rPr>
        <w:t>采购项目商务要求</w:t>
      </w:r>
      <w:bookmarkEnd w:id="68"/>
      <w:bookmarkEnd w:id="78"/>
      <w:bookmarkEnd w:id="79"/>
      <w:bookmarkEnd w:id="80"/>
      <w:bookmarkEnd w:id="81"/>
      <w:bookmarkEnd w:id="82"/>
      <w:bookmarkEnd w:id="83"/>
      <w:bookmarkEnd w:id="84"/>
      <w:bookmarkEnd w:id="85"/>
      <w:bookmarkEnd w:id="86"/>
      <w:bookmarkEnd w:id="87"/>
      <w:bookmarkEnd w:id="88"/>
      <w:bookmarkEnd w:id="89"/>
      <w:bookmarkEnd w:id="90"/>
    </w:p>
    <w:p>
      <w:pPr>
        <w:spacing w:line="360" w:lineRule="auto"/>
        <w:jc w:val="left"/>
        <w:rPr>
          <w:rFonts w:hint="eastAsia"/>
          <w:b/>
          <w:sz w:val="21"/>
          <w:szCs w:val="21"/>
          <w:lang w:val="en-US" w:eastAsia="zh-CN"/>
        </w:rPr>
      </w:pPr>
      <w:r>
        <w:rPr>
          <w:rFonts w:hint="eastAsia"/>
          <w:b/>
          <w:sz w:val="21"/>
          <w:szCs w:val="21"/>
          <w:lang w:val="en-US" w:eastAsia="zh-CN"/>
        </w:rPr>
        <w:t>说明：标“★”号条款为实质性响应条款，供应商如不响应，将导致响应文件无效；标“▲”号条款为重要参数要求，作为重要评审指标，不作为符合性审查条款，无标识的为一般性条款。</w:t>
      </w:r>
    </w:p>
    <w:p>
      <w:pPr>
        <w:bidi w:val="0"/>
        <w:rPr>
          <w:rFonts w:hint="eastAsia"/>
        </w:rPr>
      </w:pPr>
    </w:p>
    <w:p>
      <w:pPr>
        <w:spacing w:line="360" w:lineRule="auto"/>
        <w:jc w:val="left"/>
        <w:rPr>
          <w:b/>
          <w:sz w:val="24"/>
          <w:szCs w:val="24"/>
        </w:rPr>
      </w:pPr>
      <w:r>
        <w:rPr>
          <w:rFonts w:hint="eastAsia"/>
          <w:b/>
          <w:sz w:val="24"/>
          <w:szCs w:val="24"/>
          <w:highlight w:val="white"/>
        </w:rPr>
        <w:t>★</w:t>
      </w:r>
      <w:r>
        <w:rPr>
          <w:rFonts w:hint="eastAsia"/>
          <w:b/>
          <w:sz w:val="24"/>
          <w:szCs w:val="24"/>
          <w:lang w:eastAsia="zh-CN"/>
        </w:rPr>
        <w:t>（一）</w:t>
      </w:r>
      <w:r>
        <w:rPr>
          <w:rFonts w:hint="eastAsia"/>
          <w:b/>
          <w:sz w:val="24"/>
          <w:szCs w:val="24"/>
        </w:rPr>
        <w:t>基本商务要求一览表</w:t>
      </w:r>
    </w:p>
    <w:tbl>
      <w:tblPr>
        <w:tblStyle w:val="24"/>
        <w:tblW w:w="9212"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886"/>
        <w:gridCol w:w="1936"/>
        <w:gridCol w:w="6390"/>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88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sz w:val="24"/>
              </w:rPr>
            </w:pPr>
            <w:r>
              <w:rPr>
                <w:b/>
                <w:sz w:val="24"/>
              </w:rPr>
              <w:t>序号</w:t>
            </w:r>
          </w:p>
        </w:tc>
        <w:tc>
          <w:tcPr>
            <w:tcW w:w="193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b/>
                <w:sz w:val="24"/>
              </w:rPr>
            </w:pPr>
            <w:r>
              <w:rPr>
                <w:b/>
                <w:sz w:val="24"/>
              </w:rPr>
              <w:t>商务条款</w:t>
            </w:r>
          </w:p>
        </w:tc>
        <w:tc>
          <w:tcPr>
            <w:tcW w:w="639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sz w:val="24"/>
              </w:rPr>
            </w:pPr>
            <w:r>
              <w:rPr>
                <w:b/>
                <w:sz w:val="24"/>
              </w:rPr>
              <w:t>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88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ascii="宋体" w:hAnsi="宋体" w:cs="宋体"/>
                <w:bCs/>
                <w:sz w:val="24"/>
              </w:rPr>
            </w:pPr>
            <w:r>
              <w:rPr>
                <w:rFonts w:hint="eastAsia" w:ascii="宋体" w:hAnsi="宋体" w:cs="宋体"/>
                <w:bCs/>
                <w:sz w:val="24"/>
              </w:rPr>
              <w:t>1</w:t>
            </w:r>
          </w:p>
        </w:tc>
        <w:tc>
          <w:tcPr>
            <w:tcW w:w="193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hint="eastAsia" w:ascii="宋体" w:hAnsi="宋体" w:cs="宋体"/>
                <w:b/>
                <w:sz w:val="24"/>
              </w:rPr>
            </w:pPr>
            <w:r>
              <w:rPr>
                <w:rFonts w:hint="eastAsia" w:ascii="宋体" w:hAnsi="宋体" w:cs="宋体"/>
                <w:b/>
                <w:sz w:val="24"/>
              </w:rPr>
              <w:t>项目采购预算</w:t>
            </w:r>
          </w:p>
          <w:p>
            <w:pPr>
              <w:adjustRightInd w:val="0"/>
              <w:snapToGrid w:val="0"/>
              <w:spacing w:line="360" w:lineRule="auto"/>
              <w:jc w:val="center"/>
            </w:pPr>
            <w:r>
              <w:rPr>
                <w:rFonts w:hint="eastAsia" w:ascii="宋体" w:hAnsi="宋体" w:cs="宋体"/>
                <w:b/>
                <w:sz w:val="24"/>
                <w:lang w:eastAsia="zh-CN"/>
              </w:rPr>
              <w:t>（最高限价）</w:t>
            </w:r>
          </w:p>
        </w:tc>
        <w:tc>
          <w:tcPr>
            <w:tcW w:w="639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left"/>
              <w:rPr>
                <w:rFonts w:hint="eastAsia" w:ascii="宋体" w:hAnsi="宋体" w:eastAsia="宋体" w:cs="宋体"/>
                <w:b/>
                <w:bCs/>
                <w:sz w:val="24"/>
                <w:szCs w:val="24"/>
                <w:lang w:eastAsia="zh-CN"/>
              </w:rPr>
            </w:pPr>
            <w:r>
              <w:rPr>
                <w:rFonts w:hint="eastAsia" w:ascii="宋体" w:hAnsi="宋体" w:eastAsia="宋体" w:cs="宋体"/>
                <w:b/>
                <w:bCs/>
                <w:sz w:val="24"/>
                <w:szCs w:val="24"/>
              </w:rPr>
              <w:t>人民币￥</w:t>
            </w:r>
            <w:r>
              <w:rPr>
                <w:rFonts w:hint="eastAsia" w:ascii="宋体" w:hAnsi="宋体" w:eastAsia="宋体" w:cs="宋体"/>
                <w:b/>
                <w:bCs/>
                <w:sz w:val="24"/>
                <w:szCs w:val="24"/>
                <w:u w:val="single"/>
                <w:lang w:val="en-US" w:eastAsia="zh-CN"/>
              </w:rPr>
              <w:t>176,516.38</w:t>
            </w:r>
            <w:r>
              <w:rPr>
                <w:rFonts w:hint="eastAsia" w:ascii="宋体" w:hAnsi="宋体" w:eastAsia="宋体" w:cs="宋体"/>
                <w:b/>
                <w:bCs/>
                <w:sz w:val="24"/>
                <w:szCs w:val="24"/>
              </w:rPr>
              <w:t>元</w:t>
            </w:r>
          </w:p>
          <w:p>
            <w:pPr>
              <w:adjustRightInd w:val="0"/>
              <w:snapToGrid w:val="0"/>
              <w:spacing w:line="360" w:lineRule="auto"/>
              <w:jc w:val="left"/>
              <w:rPr>
                <w:rFonts w:hint="default" w:eastAsia="宋体"/>
                <w:b/>
                <w:sz w:val="24"/>
                <w:lang w:val="en-US" w:eastAsia="zh-CN"/>
              </w:rPr>
            </w:pPr>
            <w:r>
              <w:rPr>
                <w:rFonts w:hint="eastAsia" w:ascii="宋体" w:hAnsi="宋体" w:eastAsia="宋体" w:cs="宋体"/>
                <w:b/>
                <w:bCs/>
                <w:sz w:val="24"/>
                <w:szCs w:val="24"/>
              </w:rPr>
              <w:t>大写</w:t>
            </w:r>
            <w:r>
              <w:rPr>
                <w:rFonts w:hint="eastAsia" w:ascii="宋体" w:hAnsi="宋体" w:eastAsia="宋体" w:cs="宋体"/>
                <w:b/>
                <w:bCs/>
                <w:sz w:val="24"/>
                <w:szCs w:val="24"/>
                <w:highlight w:val="none"/>
                <w:u w:val="none"/>
              </w:rPr>
              <w:t>：</w:t>
            </w:r>
            <w:r>
              <w:rPr>
                <w:rFonts w:hint="eastAsia" w:ascii="宋体" w:hAnsi="宋体" w:eastAsia="宋体" w:cs="宋体"/>
                <w:b/>
                <w:bCs/>
                <w:sz w:val="24"/>
                <w:szCs w:val="24"/>
                <w:highlight w:val="none"/>
                <w:u w:val="none"/>
                <w:lang w:val="en-US" w:eastAsia="zh-CN"/>
              </w:rPr>
              <w:t>人民币</w:t>
            </w:r>
            <w:r>
              <w:rPr>
                <w:rFonts w:hint="eastAsia" w:ascii="宋体" w:hAnsi="宋体" w:eastAsia="宋体" w:cs="宋体"/>
                <w:b/>
                <w:bCs/>
                <w:sz w:val="24"/>
                <w:szCs w:val="24"/>
                <w:highlight w:val="none"/>
                <w:u w:val="single"/>
                <w:lang w:val="en-US" w:eastAsia="zh-CN"/>
              </w:rPr>
              <w:t>壹拾柒万陆仟伍佰壹拾陆元叁角捌分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8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ascii="宋体" w:hAnsi="宋体" w:cs="宋体"/>
                <w:sz w:val="24"/>
              </w:rPr>
            </w:pPr>
            <w:r>
              <w:rPr>
                <w:rFonts w:hint="eastAsia" w:ascii="宋体" w:hAnsi="宋体" w:cs="宋体"/>
                <w:sz w:val="24"/>
              </w:rPr>
              <w:t>2</w:t>
            </w:r>
          </w:p>
        </w:tc>
        <w:tc>
          <w:tcPr>
            <w:tcW w:w="193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ascii="宋体" w:hAnsi="宋体" w:cs="宋体"/>
                <w:b/>
                <w:sz w:val="24"/>
                <w:highlight w:val="none"/>
              </w:rPr>
            </w:pPr>
            <w:r>
              <w:rPr>
                <w:rFonts w:hint="eastAsia" w:ascii="宋体" w:hAnsi="宋体" w:cs="宋体"/>
                <w:b/>
                <w:sz w:val="24"/>
                <w:highlight w:val="none"/>
              </w:rPr>
              <w:t>报价要求</w:t>
            </w:r>
          </w:p>
        </w:tc>
        <w:tc>
          <w:tcPr>
            <w:tcW w:w="639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4"/>
                <w:lang w:eastAsia="zh-CN"/>
              </w:rPr>
            </w:pPr>
            <w:r>
              <w:rPr>
                <w:rFonts w:hint="eastAsia" w:ascii="宋体" w:hAnsi="宋体" w:eastAsia="宋体" w:cs="宋体"/>
                <w:sz w:val="24"/>
                <w:lang w:eastAsia="zh-CN"/>
              </w:rPr>
              <w:t>（1）报价不得高于本项目采购预算及最高限价。</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4"/>
                <w:lang w:eastAsia="zh-CN"/>
              </w:rPr>
            </w:pPr>
            <w:r>
              <w:rPr>
                <w:rFonts w:hint="eastAsia" w:ascii="宋体" w:hAnsi="宋体" w:eastAsia="宋体" w:cs="宋体"/>
                <w:sz w:val="24"/>
                <w:lang w:eastAsia="zh-CN"/>
              </w:rPr>
              <w:t>（2）报价方式为广东省佛山市目的地竣工验收交付价。</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4"/>
                <w:lang w:eastAsia="zh-CN"/>
              </w:rPr>
            </w:pPr>
            <w:r>
              <w:rPr>
                <w:rFonts w:hint="eastAsia" w:ascii="宋体" w:hAnsi="宋体" w:eastAsia="宋体" w:cs="宋体"/>
                <w:sz w:val="24"/>
                <w:lang w:eastAsia="zh-CN"/>
              </w:rPr>
              <w:t>（</w:t>
            </w:r>
            <w:r>
              <w:rPr>
                <w:rFonts w:hint="eastAsia" w:ascii="宋体" w:hAnsi="宋体" w:eastAsia="宋体" w:cs="宋体"/>
                <w:sz w:val="24"/>
                <w:lang w:val="en-US" w:eastAsia="zh-CN"/>
              </w:rPr>
              <w:t>3</w:t>
            </w:r>
            <w:r>
              <w:rPr>
                <w:rFonts w:hint="eastAsia" w:ascii="宋体" w:hAnsi="宋体" w:eastAsia="宋体" w:cs="宋体"/>
                <w:sz w:val="24"/>
                <w:lang w:eastAsia="zh-CN"/>
              </w:rPr>
              <w:t>）报价中必须包含货物及零配件的购置和安装、工程实施、施工场地勘查费、运输保险、垃圾清运、装卸、工地管理及水电费、办理施工报建和报验手续、材料检验费、质保期售后服务及质量保修期间的维修保养费用、雇员费用、税费、合理利润、风险费用及合同签订过程中可预见和不可预见费用。</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b/>
                <w:bCs/>
                <w:sz w:val="24"/>
                <w:lang w:eastAsia="zh-CN"/>
              </w:rPr>
            </w:pPr>
            <w:r>
              <w:rPr>
                <w:rFonts w:hint="eastAsia" w:ascii="宋体" w:hAnsi="宋体" w:eastAsia="宋体" w:cs="宋体"/>
                <w:b/>
                <w:bCs/>
                <w:sz w:val="24"/>
                <w:lang w:eastAsia="zh-CN"/>
              </w:rPr>
              <w:t>（</w:t>
            </w:r>
            <w:r>
              <w:rPr>
                <w:rFonts w:hint="eastAsia" w:ascii="宋体" w:hAnsi="宋体" w:eastAsia="宋体" w:cs="宋体"/>
                <w:b/>
                <w:bCs/>
                <w:sz w:val="24"/>
                <w:lang w:val="en-US" w:eastAsia="zh-CN"/>
              </w:rPr>
              <w:t>4</w:t>
            </w:r>
            <w:r>
              <w:rPr>
                <w:rFonts w:hint="eastAsia" w:ascii="宋体" w:hAnsi="宋体" w:eastAsia="宋体" w:cs="宋体"/>
                <w:b/>
                <w:bCs/>
                <w:sz w:val="24"/>
                <w:lang w:eastAsia="zh-CN"/>
              </w:rPr>
              <w:t>）绿色施工安全防护措施费￥</w:t>
            </w:r>
            <w:r>
              <w:rPr>
                <w:rFonts w:hint="eastAsia" w:ascii="宋体" w:hAnsi="宋体" w:eastAsia="宋体" w:cs="宋体"/>
                <w:b/>
                <w:bCs/>
                <w:sz w:val="24"/>
                <w:u w:val="single"/>
                <w:lang w:eastAsia="zh-CN"/>
              </w:rPr>
              <w:t xml:space="preserve"> 5880.90 </w:t>
            </w:r>
            <w:r>
              <w:rPr>
                <w:rFonts w:hint="eastAsia" w:ascii="宋体" w:hAnsi="宋体" w:eastAsia="宋体" w:cs="宋体"/>
                <w:b/>
                <w:bCs/>
                <w:sz w:val="24"/>
                <w:lang w:eastAsia="zh-CN"/>
              </w:rPr>
              <w:t>元为不可竞争费用，供应商在报价中必须包含且不得更改该金额，否则投标无效。</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4"/>
                <w:lang w:eastAsia="zh-CN"/>
              </w:rPr>
            </w:pPr>
            <w:r>
              <w:rPr>
                <w:rFonts w:hint="eastAsia" w:ascii="宋体" w:hAnsi="宋体" w:eastAsia="宋体" w:cs="宋体"/>
                <w:sz w:val="24"/>
                <w:lang w:eastAsia="zh-CN"/>
              </w:rPr>
              <w:t>（</w:t>
            </w:r>
            <w:r>
              <w:rPr>
                <w:rFonts w:hint="eastAsia" w:ascii="宋体" w:hAnsi="宋体" w:eastAsia="宋体" w:cs="宋体"/>
                <w:sz w:val="24"/>
                <w:lang w:val="en-US" w:eastAsia="zh-CN"/>
              </w:rPr>
              <w:t>5</w:t>
            </w:r>
            <w:r>
              <w:rPr>
                <w:rFonts w:hint="eastAsia" w:ascii="宋体" w:hAnsi="宋体" w:eastAsia="宋体" w:cs="宋体"/>
                <w:sz w:val="24"/>
                <w:lang w:eastAsia="zh-CN"/>
              </w:rPr>
              <w:t>）供应商必须自行考虑本项目在实施期间的一切可能产生的费用。在合同执行过程中，采购人将不再另行支付与本项目相关的任何费用（非本项目要求的其它内容除外）。</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4"/>
                <w:lang w:eastAsia="zh-CN"/>
              </w:rPr>
            </w:pPr>
            <w:r>
              <w:rPr>
                <w:rFonts w:hint="eastAsia" w:ascii="宋体" w:hAnsi="宋体" w:eastAsia="宋体" w:cs="宋体"/>
                <w:sz w:val="24"/>
                <w:lang w:eastAsia="zh-CN"/>
              </w:rPr>
              <w:t>（</w:t>
            </w:r>
            <w:r>
              <w:rPr>
                <w:rFonts w:hint="eastAsia" w:ascii="宋体" w:hAnsi="宋体" w:eastAsia="宋体" w:cs="宋体"/>
                <w:sz w:val="24"/>
                <w:lang w:val="en-US" w:eastAsia="zh-CN"/>
              </w:rPr>
              <w:t>6</w:t>
            </w:r>
            <w:r>
              <w:rPr>
                <w:rFonts w:hint="eastAsia" w:ascii="宋体" w:hAnsi="宋体" w:eastAsia="宋体" w:cs="宋体"/>
                <w:sz w:val="24"/>
                <w:lang w:eastAsia="zh-CN"/>
              </w:rPr>
              <w:t>）最终报价形式（第二次报价即为最终报价）：只报总价，且最终报价总价不得高于首次报价的总价。最终报价中的绿色施工安全防护措施费及暂列金为首次的报价金额固定不变，</w:t>
            </w:r>
            <w:r>
              <w:rPr>
                <w:rFonts w:hint="eastAsia" w:ascii="宋体" w:hAnsi="宋体" w:cs="宋体"/>
                <w:sz w:val="24"/>
                <w:lang w:eastAsia="zh-CN"/>
              </w:rPr>
              <w:t>供应商</w:t>
            </w:r>
            <w:r>
              <w:rPr>
                <w:rFonts w:hint="eastAsia" w:ascii="宋体" w:hAnsi="宋体" w:eastAsia="宋体" w:cs="宋体"/>
                <w:sz w:val="24"/>
                <w:lang w:eastAsia="zh-CN"/>
              </w:rPr>
              <w:t>报价时充分考虑该风险因素。</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4"/>
                <w:lang w:eastAsia="zh-CN"/>
              </w:rPr>
            </w:pPr>
            <w:r>
              <w:rPr>
                <w:rFonts w:hint="eastAsia" w:ascii="宋体" w:hAnsi="宋体" w:eastAsia="宋体" w:cs="宋体"/>
                <w:sz w:val="24"/>
                <w:lang w:eastAsia="zh-CN"/>
              </w:rPr>
              <w:t>（</w:t>
            </w:r>
            <w:r>
              <w:rPr>
                <w:rFonts w:hint="eastAsia" w:ascii="宋体" w:hAnsi="宋体" w:eastAsia="宋体" w:cs="宋体"/>
                <w:sz w:val="24"/>
                <w:lang w:val="en-US" w:eastAsia="zh-CN"/>
              </w:rPr>
              <w:t>7</w:t>
            </w:r>
            <w:r>
              <w:rPr>
                <w:rFonts w:hint="eastAsia" w:ascii="宋体" w:hAnsi="宋体" w:eastAsia="宋体" w:cs="宋体"/>
                <w:sz w:val="24"/>
                <w:lang w:eastAsia="zh-CN"/>
              </w:rPr>
              <w:t>）如最终报价较首次报价有优惠的，其中绿色施工安全防护措施费、暂列金等不可竞争费的不进行调整。其余各工程量清单项目的单价取首次报价时的单价乘以相应的优惠系数为准。</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4"/>
                <w:lang w:eastAsia="zh-CN"/>
              </w:rPr>
            </w:pPr>
            <w:r>
              <w:rPr>
                <w:rFonts w:hint="eastAsia" w:ascii="宋体" w:hAnsi="宋体" w:eastAsia="宋体" w:cs="宋体"/>
                <w:sz w:val="24"/>
                <w:lang w:eastAsia="zh-CN"/>
              </w:rPr>
              <w:t>优惠系数=(最后报价-不可竞争费)÷(首次报价-不可竞争费)最终综合单价=首次报价时的项目单价×优惠系数</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lang w:eastAsia="zh-CN"/>
              </w:rPr>
            </w:pPr>
            <w:r>
              <w:rPr>
                <w:rFonts w:hint="eastAsia" w:ascii="宋体" w:hAnsi="宋体" w:eastAsia="宋体" w:cs="宋体"/>
                <w:sz w:val="24"/>
                <w:lang w:eastAsia="zh-CN"/>
              </w:rPr>
              <w:t>说明：调整后的单价和总价均保留2位小数，调整后已标价工程量清单计算总额与最后报价一致，每项单价的调整比例忽略千分位后的细微差值。</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8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ascii="宋体" w:hAnsi="宋体" w:cs="宋体"/>
                <w:sz w:val="24"/>
              </w:rPr>
            </w:pPr>
            <w:r>
              <w:rPr>
                <w:rFonts w:hint="eastAsia" w:ascii="宋体" w:hAnsi="宋体" w:cs="宋体"/>
                <w:sz w:val="24"/>
              </w:rPr>
              <w:t>3</w:t>
            </w:r>
          </w:p>
        </w:tc>
        <w:tc>
          <w:tcPr>
            <w:tcW w:w="193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hint="eastAsia" w:ascii="宋体" w:hAnsi="宋体" w:cs="宋体"/>
                <w:b/>
                <w:sz w:val="24"/>
                <w:lang w:eastAsia="zh-CN"/>
              </w:rPr>
            </w:pPr>
            <w:r>
              <w:rPr>
                <w:rFonts w:hint="eastAsia" w:ascii="宋体" w:hAnsi="宋体" w:cs="宋体"/>
                <w:b/>
                <w:sz w:val="24"/>
                <w:lang w:eastAsia="zh-CN"/>
              </w:rPr>
              <w:t>施工地点</w:t>
            </w:r>
          </w:p>
        </w:tc>
        <w:tc>
          <w:tcPr>
            <w:tcW w:w="639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left"/>
              <w:rPr>
                <w:rFonts w:hint="eastAsia" w:ascii="宋体" w:hAnsi="宋体" w:eastAsia="宋体" w:cs="宋体"/>
                <w:sz w:val="24"/>
                <w:lang w:eastAsia="zh-CN"/>
              </w:rPr>
            </w:pPr>
            <w:r>
              <w:rPr>
                <w:rFonts w:hint="eastAsia" w:ascii="宋体" w:hAnsi="宋体" w:eastAsia="宋体" w:cs="宋体"/>
                <w:sz w:val="24"/>
                <w:lang w:eastAsia="zh-CN"/>
              </w:rPr>
              <w:t>采购人（用户）指定地点。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8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ascii="宋体" w:hAnsi="宋体" w:cs="宋体"/>
                <w:sz w:val="24"/>
              </w:rPr>
            </w:pPr>
            <w:r>
              <w:rPr>
                <w:rFonts w:hint="eastAsia" w:ascii="宋体" w:hAnsi="宋体" w:cs="宋体"/>
                <w:sz w:val="24"/>
              </w:rPr>
              <w:t>4</w:t>
            </w:r>
          </w:p>
        </w:tc>
        <w:tc>
          <w:tcPr>
            <w:tcW w:w="193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hint="eastAsia" w:ascii="宋体" w:hAnsi="宋体" w:cs="宋体"/>
                <w:b/>
                <w:sz w:val="24"/>
                <w:highlight w:val="none"/>
                <w:lang w:eastAsia="zh-CN"/>
              </w:rPr>
            </w:pPr>
            <w:r>
              <w:rPr>
                <w:rFonts w:hint="eastAsia" w:ascii="宋体" w:hAnsi="宋体" w:cs="宋体"/>
                <w:b/>
                <w:sz w:val="24"/>
                <w:highlight w:val="none"/>
                <w:lang w:eastAsia="zh-CN"/>
              </w:rPr>
              <w:t>工期</w:t>
            </w:r>
          </w:p>
        </w:tc>
        <w:tc>
          <w:tcPr>
            <w:tcW w:w="639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rPr>
                <w:rFonts w:ascii="宋体" w:hAnsi="宋体" w:cs="宋体"/>
                <w:bCs/>
                <w:sz w:val="24"/>
                <w:highlight w:val="none"/>
              </w:rPr>
            </w:pPr>
            <w:r>
              <w:rPr>
                <w:rFonts w:hint="eastAsia" w:ascii="宋体" w:hAnsi="宋体" w:cs="宋体"/>
                <w:spacing w:val="1"/>
                <w:sz w:val="24"/>
                <w:highlight w:val="none"/>
              </w:rPr>
              <w:t xml:space="preserve">自合同签订之日起 </w:t>
            </w:r>
            <w:r>
              <w:rPr>
                <w:rFonts w:hint="eastAsia" w:ascii="宋体" w:hAnsi="宋体" w:cs="宋体"/>
                <w:spacing w:val="1"/>
                <w:sz w:val="24"/>
                <w:highlight w:val="none"/>
                <w:lang w:val="en-US" w:eastAsia="zh-CN"/>
              </w:rPr>
              <w:t>20</w:t>
            </w:r>
            <w:r>
              <w:rPr>
                <w:rFonts w:hint="eastAsia" w:ascii="宋体" w:hAnsi="宋体" w:cs="宋体"/>
                <w:spacing w:val="1"/>
                <w:sz w:val="24"/>
                <w:highlight w:val="none"/>
              </w:rPr>
              <w:t xml:space="preserve"> 天</w:t>
            </w:r>
            <w:r>
              <w:rPr>
                <w:rFonts w:hint="eastAsia" w:ascii="宋体" w:hAnsi="宋体" w:cs="宋体"/>
                <w:spacing w:val="1"/>
                <w:sz w:val="24"/>
                <w:highlight w:val="none"/>
                <w:lang w:eastAsia="zh-CN"/>
              </w:rPr>
              <w:t>内完成工作并验收合格</w:t>
            </w:r>
            <w:r>
              <w:rPr>
                <w:rFonts w:hint="eastAsia" w:ascii="宋体" w:hAnsi="宋体" w:cs="宋体"/>
                <w:spacing w:val="1"/>
                <w:sz w:val="24"/>
                <w:highlight w:val="none"/>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363" w:hRule="atLeast"/>
        </w:trPr>
        <w:tc>
          <w:tcPr>
            <w:tcW w:w="88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5</w:t>
            </w:r>
          </w:p>
        </w:tc>
        <w:tc>
          <w:tcPr>
            <w:tcW w:w="1936" w:type="dxa"/>
            <w:tcBorders>
              <w:top w:val="outset" w:color="auto" w:sz="6" w:space="0"/>
              <w:left w:val="outset" w:color="auto" w:sz="6" w:space="0"/>
              <w:bottom w:val="outset" w:color="auto" w:sz="6" w:space="0"/>
              <w:right w:val="outset" w:color="auto" w:sz="6" w:space="0"/>
            </w:tcBorders>
            <w:vAlign w:val="center"/>
          </w:tcPr>
          <w:p>
            <w:pPr>
              <w:adjustRightInd w:val="0"/>
              <w:spacing w:line="360" w:lineRule="auto"/>
              <w:jc w:val="center"/>
              <w:rPr>
                <w:rFonts w:hint="eastAsia" w:eastAsia="宋体"/>
                <w:highlight w:val="none"/>
                <w:lang w:eastAsia="zh-CN"/>
              </w:rPr>
            </w:pPr>
            <w:r>
              <w:rPr>
                <w:rFonts w:hint="eastAsia" w:ascii="Times New Roman" w:hAnsi="Times New Roman" w:eastAsia="宋体" w:cs="Times New Roman"/>
                <w:b/>
                <w:bCs/>
                <w:color w:val="000000"/>
                <w:kern w:val="2"/>
                <w:sz w:val="24"/>
                <w:szCs w:val="24"/>
                <w:highlight w:val="none"/>
                <w:lang w:val="en-US" w:eastAsia="zh-CN" w:bidi="ar-SA"/>
              </w:rPr>
              <w:t>付款方式</w:t>
            </w:r>
          </w:p>
        </w:tc>
        <w:tc>
          <w:tcPr>
            <w:tcW w:w="639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numPr>
                <w:ilvl w:val="0"/>
                <w:numId w:val="2"/>
              </w:numPr>
              <w:kinsoku/>
              <w:wordWrap/>
              <w:overflowPunct/>
              <w:topLinePunct w:val="0"/>
              <w:autoSpaceDE/>
              <w:autoSpaceDN/>
              <w:bidi w:val="0"/>
              <w:spacing w:line="400" w:lineRule="exac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合同生效</w:t>
            </w:r>
            <w:r>
              <w:rPr>
                <w:rFonts w:hint="eastAsia" w:ascii="宋体" w:hAnsi="宋体" w:eastAsia="宋体" w:cs="宋体"/>
                <w:sz w:val="24"/>
                <w:szCs w:val="24"/>
                <w:highlight w:val="none"/>
                <w:lang w:val="en-US" w:eastAsia="zh-CN"/>
              </w:rPr>
              <w:t>后，</w:t>
            </w:r>
            <w:r>
              <w:rPr>
                <w:rFonts w:hint="eastAsia" w:ascii="宋体" w:hAnsi="宋体" w:eastAsia="宋体" w:cs="宋体"/>
                <w:sz w:val="24"/>
                <w:szCs w:val="24"/>
                <w:highlight w:val="none"/>
              </w:rPr>
              <w:t>工程安装调试完毕并交付验收合格</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且结算审核完成，结算价经双方确认后，支付至结算总价的</w:t>
            </w:r>
            <w:r>
              <w:rPr>
                <w:rFonts w:hint="eastAsia" w:ascii="宋体" w:hAnsi="宋体" w:eastAsia="宋体" w:cs="宋体"/>
                <w:sz w:val="24"/>
                <w:szCs w:val="24"/>
                <w:highlight w:val="none"/>
                <w:lang w:val="en-US" w:eastAsia="zh-CN"/>
              </w:rPr>
              <w:t>100</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spacing w:line="400" w:lineRule="exac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工程最终结算价格以</w:t>
            </w:r>
            <w:r>
              <w:rPr>
                <w:rFonts w:hint="eastAsia" w:ascii="宋体" w:hAnsi="宋体" w:eastAsia="宋体" w:cs="宋体"/>
                <w:sz w:val="24"/>
                <w:szCs w:val="24"/>
                <w:highlight w:val="none"/>
                <w:lang w:val="en-US" w:eastAsia="zh-CN"/>
              </w:rPr>
              <w:t>采购人</w:t>
            </w:r>
            <w:r>
              <w:rPr>
                <w:rFonts w:hint="eastAsia" w:ascii="宋体" w:hAnsi="宋体" w:eastAsia="宋体" w:cs="宋体"/>
                <w:sz w:val="24"/>
                <w:szCs w:val="24"/>
                <w:highlight w:val="none"/>
                <w:lang w:eastAsia="zh-CN"/>
              </w:rPr>
              <w:t>委托的第三方出具的造价审定书为准。</w:t>
            </w:r>
          </w:p>
          <w:p>
            <w:pPr>
              <w:keepNext w:val="0"/>
              <w:keepLines w:val="0"/>
              <w:pageBreakBefore w:val="0"/>
              <w:widowControl w:val="0"/>
              <w:numPr>
                <w:ilvl w:val="0"/>
                <w:numId w:val="2"/>
              </w:numPr>
              <w:kinsoku/>
              <w:wordWrap/>
              <w:overflowPunct/>
              <w:topLinePunct w:val="0"/>
              <w:autoSpaceDE/>
              <w:autoSpaceDN/>
              <w:bidi w:val="0"/>
              <w:spacing w:line="400" w:lineRule="exac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工程竣工报告经</w:t>
            </w:r>
            <w:r>
              <w:rPr>
                <w:rFonts w:hint="eastAsia" w:ascii="宋体" w:hAnsi="宋体" w:eastAsia="宋体" w:cs="宋体"/>
                <w:sz w:val="24"/>
                <w:szCs w:val="24"/>
                <w:highlight w:val="none"/>
                <w:lang w:val="en-US" w:eastAsia="zh-CN"/>
              </w:rPr>
              <w:t>采购人</w:t>
            </w:r>
            <w:r>
              <w:rPr>
                <w:rFonts w:hint="eastAsia" w:ascii="宋体" w:hAnsi="宋体" w:eastAsia="宋体" w:cs="宋体"/>
                <w:sz w:val="24"/>
                <w:szCs w:val="24"/>
                <w:highlight w:val="none"/>
                <w:lang w:eastAsia="zh-CN"/>
              </w:rPr>
              <w:t>认可后28天内，</w:t>
            </w:r>
            <w:r>
              <w:rPr>
                <w:rFonts w:hint="eastAsia" w:ascii="宋体" w:hAnsi="宋体" w:eastAsia="宋体" w:cs="宋体"/>
                <w:sz w:val="24"/>
                <w:szCs w:val="24"/>
                <w:highlight w:val="none"/>
              </w:rPr>
              <w:t>成交供应商</w:t>
            </w:r>
            <w:r>
              <w:rPr>
                <w:rFonts w:hint="eastAsia" w:ascii="宋体" w:hAnsi="宋体" w:eastAsia="宋体" w:cs="宋体"/>
                <w:sz w:val="24"/>
                <w:szCs w:val="24"/>
                <w:highlight w:val="none"/>
                <w:lang w:eastAsia="zh-CN"/>
              </w:rPr>
              <w:t>向</w:t>
            </w:r>
            <w:r>
              <w:rPr>
                <w:rFonts w:hint="eastAsia" w:ascii="宋体" w:hAnsi="宋体" w:eastAsia="宋体" w:cs="宋体"/>
                <w:sz w:val="24"/>
                <w:szCs w:val="24"/>
                <w:highlight w:val="none"/>
                <w:lang w:val="en-US" w:eastAsia="zh-CN"/>
              </w:rPr>
              <w:t>采购人</w:t>
            </w:r>
            <w:r>
              <w:rPr>
                <w:rFonts w:hint="eastAsia" w:ascii="宋体" w:hAnsi="宋体" w:eastAsia="宋体" w:cs="宋体"/>
                <w:sz w:val="24"/>
                <w:szCs w:val="24"/>
                <w:highlight w:val="none"/>
                <w:lang w:eastAsia="zh-CN"/>
              </w:rPr>
              <w:t>递交竣工结算报告及完整的结算资料，双方按照本合同约定的合同价款内容及相关价款调整方式，进行工程竣工结算。</w:t>
            </w:r>
          </w:p>
          <w:p>
            <w:pPr>
              <w:keepNext w:val="0"/>
              <w:keepLines w:val="0"/>
              <w:pageBreakBefore w:val="0"/>
              <w:widowControl w:val="0"/>
              <w:numPr>
                <w:ilvl w:val="0"/>
                <w:numId w:val="2"/>
              </w:numPr>
              <w:kinsoku/>
              <w:wordWrap/>
              <w:overflowPunct/>
              <w:topLinePunct w:val="0"/>
              <w:autoSpaceDE/>
              <w:autoSpaceDN/>
              <w:bidi w:val="0"/>
              <w:spacing w:line="400" w:lineRule="exact"/>
              <w:textAlignment w:val="auto"/>
              <w:rPr>
                <w:rFonts w:hint="eastAsia" w:ascii="宋体" w:hAnsi="宋体" w:eastAsia="宋体" w:cs="宋体"/>
                <w:sz w:val="24"/>
                <w:highlight w:val="none"/>
                <w:lang w:val="en-US" w:eastAsia="zh-CN"/>
              </w:rPr>
            </w:pPr>
            <w:r>
              <w:rPr>
                <w:rFonts w:hint="eastAsia" w:ascii="宋体" w:hAnsi="宋体" w:eastAsia="宋体" w:cs="宋体"/>
                <w:sz w:val="24"/>
                <w:szCs w:val="24"/>
                <w:highlight w:val="none"/>
                <w:lang w:val="en-US" w:eastAsia="zh-CN"/>
              </w:rPr>
              <w:t>采购人</w:t>
            </w:r>
            <w:r>
              <w:rPr>
                <w:rFonts w:hint="eastAsia" w:ascii="宋体" w:hAnsi="宋体" w:eastAsia="宋体" w:cs="宋体"/>
                <w:sz w:val="24"/>
                <w:szCs w:val="24"/>
                <w:highlight w:val="none"/>
                <w:lang w:eastAsia="zh-CN"/>
              </w:rPr>
              <w:t>收到</w:t>
            </w:r>
            <w:r>
              <w:rPr>
                <w:rFonts w:hint="eastAsia" w:ascii="宋体" w:hAnsi="宋体" w:eastAsia="宋体" w:cs="宋体"/>
                <w:sz w:val="24"/>
                <w:szCs w:val="24"/>
                <w:highlight w:val="none"/>
              </w:rPr>
              <w:t>成交供应商</w:t>
            </w:r>
            <w:r>
              <w:rPr>
                <w:rFonts w:hint="eastAsia" w:ascii="宋体" w:hAnsi="宋体" w:eastAsia="宋体" w:cs="宋体"/>
                <w:sz w:val="24"/>
                <w:szCs w:val="24"/>
                <w:highlight w:val="none"/>
                <w:lang w:eastAsia="zh-CN"/>
              </w:rPr>
              <w:t>递交的竣工结算报告及结算资料后30天内进行审核，出具最终工程造价审定书。</w:t>
            </w:r>
            <w:r>
              <w:rPr>
                <w:rFonts w:hint="eastAsia" w:ascii="宋体" w:hAnsi="宋体" w:eastAsia="宋体" w:cs="宋体"/>
                <w:sz w:val="24"/>
                <w:szCs w:val="24"/>
                <w:highlight w:val="none"/>
                <w:lang w:val="en-US" w:eastAsia="zh-CN"/>
              </w:rPr>
              <w:t>采购人</w:t>
            </w:r>
            <w:r>
              <w:rPr>
                <w:rFonts w:hint="eastAsia" w:ascii="宋体" w:hAnsi="宋体" w:eastAsia="宋体" w:cs="宋体"/>
                <w:sz w:val="24"/>
                <w:szCs w:val="24"/>
                <w:highlight w:val="none"/>
                <w:lang w:eastAsia="zh-CN"/>
              </w:rPr>
              <w:t>收到竣工结算价款后按造价审定书结算价支付工程其余款项。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003" w:hRule="atLeast"/>
        </w:trPr>
        <w:tc>
          <w:tcPr>
            <w:tcW w:w="88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6</w:t>
            </w:r>
          </w:p>
        </w:tc>
        <w:tc>
          <w:tcPr>
            <w:tcW w:w="1936" w:type="dxa"/>
            <w:tcBorders>
              <w:top w:val="outset" w:color="auto" w:sz="6" w:space="0"/>
              <w:left w:val="outset" w:color="auto" w:sz="6" w:space="0"/>
              <w:bottom w:val="outset" w:color="auto" w:sz="6" w:space="0"/>
              <w:right w:val="outset" w:color="auto" w:sz="6" w:space="0"/>
            </w:tcBorders>
            <w:vAlign w:val="center"/>
          </w:tcPr>
          <w:p>
            <w:pPr>
              <w:pStyle w:val="89"/>
              <w:spacing w:line="276" w:lineRule="auto"/>
              <w:jc w:val="center"/>
              <w:rPr>
                <w:b/>
                <w:bCs/>
                <w:color w:val="000000"/>
                <w:sz w:val="24"/>
                <w:szCs w:val="24"/>
                <w:highlight w:val="white"/>
              </w:rPr>
            </w:pPr>
            <w:r>
              <w:rPr>
                <w:rFonts w:hint="eastAsia"/>
                <w:b/>
                <w:bCs/>
                <w:color w:val="000000"/>
                <w:sz w:val="24"/>
                <w:szCs w:val="24"/>
                <w:highlight w:val="white"/>
              </w:rPr>
              <w:t>付款要求</w:t>
            </w:r>
          </w:p>
        </w:tc>
        <w:tc>
          <w:tcPr>
            <w:tcW w:w="639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4"/>
                <w:lang w:eastAsia="zh-CN"/>
              </w:rPr>
            </w:pPr>
            <w:r>
              <w:rPr>
                <w:rFonts w:hint="eastAsia" w:ascii="宋体" w:hAnsi="宋体" w:eastAsia="宋体" w:cs="宋体"/>
                <w:sz w:val="24"/>
                <w:lang w:eastAsia="zh-CN"/>
              </w:rPr>
              <w:t>（</w:t>
            </w:r>
            <w:r>
              <w:rPr>
                <w:rFonts w:hint="eastAsia" w:ascii="宋体" w:hAnsi="宋体" w:eastAsia="宋体" w:cs="宋体"/>
                <w:sz w:val="24"/>
                <w:lang w:val="en-US" w:eastAsia="zh-CN"/>
              </w:rPr>
              <w:t>1</w:t>
            </w:r>
            <w:r>
              <w:rPr>
                <w:rFonts w:hint="eastAsia" w:ascii="宋体" w:hAnsi="宋体" w:eastAsia="宋体" w:cs="宋体"/>
                <w:sz w:val="24"/>
                <w:lang w:eastAsia="zh-CN"/>
              </w:rPr>
              <w:t>）成交供应商每次申请付款前</w:t>
            </w:r>
            <w:r>
              <w:rPr>
                <w:rFonts w:hint="eastAsia" w:ascii="宋体" w:hAnsi="宋体" w:cs="宋体"/>
                <w:sz w:val="24"/>
                <w:lang w:eastAsia="zh-CN"/>
              </w:rPr>
              <w:t>应</w:t>
            </w:r>
            <w:r>
              <w:rPr>
                <w:rFonts w:hint="eastAsia" w:ascii="宋体" w:hAnsi="宋体" w:eastAsia="宋体" w:cs="宋体"/>
                <w:sz w:val="24"/>
                <w:lang w:eastAsia="zh-CN"/>
              </w:rPr>
              <w:t>向采购人提供依法纳税的发票。</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4"/>
                <w:lang w:eastAsia="zh-CN"/>
              </w:rPr>
            </w:pPr>
            <w:r>
              <w:rPr>
                <w:rFonts w:hint="eastAsia" w:ascii="宋体" w:hAnsi="宋体" w:eastAsia="宋体" w:cs="宋体"/>
                <w:sz w:val="24"/>
                <w:lang w:eastAsia="zh-CN"/>
              </w:rPr>
              <w:t>（</w:t>
            </w:r>
            <w:r>
              <w:rPr>
                <w:rFonts w:hint="eastAsia" w:ascii="宋体" w:hAnsi="宋体" w:eastAsia="宋体" w:cs="宋体"/>
                <w:sz w:val="24"/>
                <w:lang w:val="en-US" w:eastAsia="zh-CN"/>
              </w:rPr>
              <w:t>2</w:t>
            </w:r>
            <w:r>
              <w:rPr>
                <w:rFonts w:hint="eastAsia" w:ascii="宋体" w:hAnsi="宋体" w:eastAsia="宋体" w:cs="宋体"/>
                <w:sz w:val="24"/>
                <w:lang w:eastAsia="zh-CN"/>
              </w:rPr>
              <w:t>）</w:t>
            </w:r>
            <w:r>
              <w:rPr>
                <w:rFonts w:hint="eastAsia" w:ascii="宋体" w:hAnsi="宋体" w:cs="宋体"/>
                <w:sz w:val="24"/>
                <w:lang w:eastAsia="zh-CN"/>
              </w:rPr>
              <w:t>合同款</w:t>
            </w:r>
            <w:r>
              <w:rPr>
                <w:rFonts w:hint="eastAsia" w:ascii="宋体" w:hAnsi="宋体" w:eastAsia="宋体" w:cs="宋体"/>
                <w:sz w:val="24"/>
                <w:lang w:eastAsia="zh-CN"/>
              </w:rPr>
              <w:t>以转账方式转入</w:t>
            </w:r>
            <w:r>
              <w:rPr>
                <w:rFonts w:hint="eastAsia" w:ascii="宋体" w:hAnsi="宋体" w:cs="宋体"/>
                <w:sz w:val="24"/>
                <w:lang w:eastAsia="zh-CN"/>
              </w:rPr>
              <w:t>成交供应商</w:t>
            </w:r>
            <w:r>
              <w:rPr>
                <w:rFonts w:hint="eastAsia" w:ascii="宋体" w:hAnsi="宋体" w:eastAsia="宋体" w:cs="宋体"/>
                <w:sz w:val="24"/>
                <w:lang w:eastAsia="zh-CN"/>
              </w:rPr>
              <w:t>的银行账户。</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4"/>
                <w:lang w:eastAsia="zh-CN"/>
              </w:rPr>
            </w:pPr>
            <w:r>
              <w:rPr>
                <w:rFonts w:hint="eastAsia" w:ascii="宋体" w:hAnsi="宋体" w:eastAsia="宋体" w:cs="宋体"/>
                <w:sz w:val="24"/>
                <w:lang w:eastAsia="zh-CN"/>
              </w:rPr>
              <w:t>（</w:t>
            </w:r>
            <w:r>
              <w:rPr>
                <w:rFonts w:hint="eastAsia" w:ascii="宋体" w:hAnsi="宋体" w:eastAsia="宋体" w:cs="宋体"/>
                <w:sz w:val="24"/>
                <w:lang w:val="en-US" w:eastAsia="zh-CN"/>
              </w:rPr>
              <w:t>3</w:t>
            </w:r>
            <w:r>
              <w:rPr>
                <w:rFonts w:hint="eastAsia" w:ascii="宋体" w:hAnsi="宋体" w:eastAsia="宋体" w:cs="宋体"/>
                <w:sz w:val="24"/>
                <w:lang w:eastAsia="zh-CN"/>
              </w:rPr>
              <w:t>）收款方、出具发票方、合同乙方均必须与</w:t>
            </w:r>
            <w:r>
              <w:rPr>
                <w:rFonts w:hint="eastAsia" w:ascii="宋体" w:hAnsi="宋体" w:cs="宋体"/>
                <w:sz w:val="24"/>
                <w:lang w:eastAsia="zh-CN"/>
              </w:rPr>
              <w:t>成交供应商</w:t>
            </w:r>
            <w:r>
              <w:rPr>
                <w:rFonts w:hint="eastAsia" w:ascii="宋体" w:hAnsi="宋体" w:eastAsia="宋体" w:cs="宋体"/>
                <w:sz w:val="24"/>
                <w:lang w:eastAsia="zh-CN"/>
              </w:rPr>
              <w:t>名称一致。</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（4）采购人签署验收确认书及申办每期拨款手续均可在7个工作日内完成，合同款是市财政局国库支付中心直接支付给成交供应商，“付款”是指采购人向主管部门发出申请付款文件。</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（5）</w:t>
            </w:r>
            <w:r>
              <w:rPr>
                <w:rFonts w:hint="eastAsia" w:ascii="宋体" w:hAnsi="宋体" w:cs="宋体"/>
                <w:sz w:val="24"/>
                <w:lang w:val="en-US" w:eastAsia="zh-CN"/>
              </w:rPr>
              <w:t>成交供应商</w:t>
            </w:r>
            <w:r>
              <w:rPr>
                <w:rFonts w:hint="eastAsia" w:ascii="宋体" w:hAnsi="宋体" w:eastAsia="宋体" w:cs="宋体"/>
                <w:sz w:val="24"/>
                <w:lang w:val="en-US" w:eastAsia="zh-CN"/>
              </w:rPr>
              <w:t>应理解采购人付款的相关程序，因采购人使用的是财政资金，采购人在前款规定的付款时间为向财政支付部门提出办理财政支付申请手续的时间，不含财政支付部门审核的时间，采购人在约定期限内向财政支付部门发出付款申请即视为采购人已按期支付。因财政支付审批流程及办理手续而造成项目支付进度有所推延，采购人不承担逾期付款违约责任。</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（6）因政府财政部门跨年国库关闸、年底封账，不能按约定时间办理支付进度款，</w:t>
            </w:r>
            <w:r>
              <w:rPr>
                <w:rFonts w:hint="eastAsia" w:ascii="宋体" w:hAnsi="宋体" w:cs="宋体"/>
                <w:sz w:val="24"/>
                <w:lang w:val="en-US" w:eastAsia="zh-CN"/>
              </w:rPr>
              <w:t>成交供应商</w:t>
            </w:r>
            <w:r>
              <w:rPr>
                <w:rFonts w:hint="eastAsia" w:ascii="宋体" w:hAnsi="宋体" w:eastAsia="宋体" w:cs="宋体"/>
                <w:sz w:val="24"/>
                <w:lang w:val="en-US" w:eastAsia="zh-CN"/>
              </w:rPr>
              <w:t>可提前办理申请手续；若因此导致逾期付款，采购人不承担逾期付款违约责任。</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（7）本合同实施过程中,所发生的一切税费及不可预见费均由</w:t>
            </w:r>
            <w:r>
              <w:rPr>
                <w:rFonts w:hint="eastAsia" w:ascii="宋体" w:hAnsi="宋体" w:cs="宋体"/>
                <w:sz w:val="24"/>
                <w:lang w:val="en-US" w:eastAsia="zh-CN"/>
              </w:rPr>
              <w:t>成交供应商</w:t>
            </w:r>
            <w:r>
              <w:rPr>
                <w:rFonts w:hint="eastAsia" w:ascii="宋体" w:hAnsi="宋体" w:eastAsia="宋体" w:cs="宋体"/>
                <w:sz w:val="24"/>
                <w:lang w:val="en-US" w:eastAsia="zh-CN"/>
              </w:rPr>
              <w:t>承担。</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003" w:hRule="atLeast"/>
        </w:trPr>
        <w:tc>
          <w:tcPr>
            <w:tcW w:w="88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hint="default" w:ascii="宋体" w:hAnsi="宋体" w:cs="宋体"/>
                <w:sz w:val="24"/>
                <w:lang w:val="en-US" w:eastAsia="zh-CN"/>
              </w:rPr>
            </w:pPr>
            <w:r>
              <w:rPr>
                <w:rFonts w:hint="eastAsia" w:ascii="宋体" w:hAnsi="宋体" w:cs="宋体"/>
                <w:sz w:val="24"/>
                <w:lang w:val="en-US" w:eastAsia="zh-CN"/>
              </w:rPr>
              <w:t>7</w:t>
            </w:r>
          </w:p>
        </w:tc>
        <w:tc>
          <w:tcPr>
            <w:tcW w:w="1936" w:type="dxa"/>
            <w:tcBorders>
              <w:top w:val="outset" w:color="auto" w:sz="6" w:space="0"/>
              <w:left w:val="outset" w:color="auto" w:sz="6" w:space="0"/>
              <w:bottom w:val="outset" w:color="auto" w:sz="6" w:space="0"/>
              <w:right w:val="outset" w:color="auto" w:sz="6" w:space="0"/>
            </w:tcBorders>
            <w:vAlign w:val="center"/>
          </w:tcPr>
          <w:p>
            <w:pPr>
              <w:pStyle w:val="89"/>
              <w:spacing w:line="276" w:lineRule="auto"/>
              <w:jc w:val="center"/>
              <w:rPr>
                <w:rFonts w:hint="eastAsia" w:eastAsia="宋体"/>
                <w:b/>
                <w:bCs/>
                <w:color w:val="000000"/>
                <w:sz w:val="24"/>
                <w:szCs w:val="24"/>
                <w:highlight w:val="none"/>
                <w:lang w:eastAsia="zh-CN"/>
              </w:rPr>
            </w:pPr>
            <w:r>
              <w:rPr>
                <w:rFonts w:hint="eastAsia"/>
                <w:b/>
                <w:bCs/>
                <w:color w:val="000000"/>
                <w:sz w:val="24"/>
                <w:szCs w:val="24"/>
                <w:highlight w:val="none"/>
                <w:lang w:eastAsia="zh-CN"/>
              </w:rPr>
              <w:t>结算方式</w:t>
            </w:r>
          </w:p>
        </w:tc>
        <w:tc>
          <w:tcPr>
            <w:tcW w:w="639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固定综合单价合同，工程结算造价以成交的综合单价和实际完成的工程量（须经</w:t>
            </w:r>
            <w:r>
              <w:rPr>
                <w:rFonts w:hint="eastAsia" w:ascii="宋体" w:hAnsi="宋体" w:cs="宋体"/>
                <w:sz w:val="24"/>
                <w:highlight w:val="none"/>
                <w:lang w:eastAsia="zh-CN"/>
              </w:rPr>
              <w:t>采购人</w:t>
            </w:r>
            <w:r>
              <w:rPr>
                <w:rFonts w:hint="eastAsia" w:ascii="宋体" w:hAnsi="宋体" w:eastAsia="宋体" w:cs="宋体"/>
                <w:sz w:val="24"/>
                <w:highlight w:val="none"/>
                <w:lang w:eastAsia="zh-CN"/>
              </w:rPr>
              <w:t>确认）为依据计算。</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003" w:hRule="atLeast"/>
        </w:trPr>
        <w:tc>
          <w:tcPr>
            <w:tcW w:w="88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hint="default" w:ascii="宋体" w:hAnsi="宋体" w:cs="宋体"/>
                <w:sz w:val="24"/>
                <w:lang w:val="en-US" w:eastAsia="zh-CN"/>
              </w:rPr>
            </w:pPr>
            <w:r>
              <w:rPr>
                <w:rFonts w:hint="eastAsia" w:ascii="宋体" w:hAnsi="宋体" w:cs="宋体"/>
                <w:sz w:val="24"/>
                <w:lang w:val="en-US" w:eastAsia="zh-CN"/>
              </w:rPr>
              <w:t>8</w:t>
            </w:r>
          </w:p>
        </w:tc>
        <w:tc>
          <w:tcPr>
            <w:tcW w:w="1936" w:type="dxa"/>
            <w:tcBorders>
              <w:top w:val="outset" w:color="auto" w:sz="6" w:space="0"/>
              <w:left w:val="outset" w:color="auto" w:sz="6" w:space="0"/>
              <w:bottom w:val="outset" w:color="auto" w:sz="6" w:space="0"/>
              <w:right w:val="outset" w:color="auto" w:sz="6" w:space="0"/>
            </w:tcBorders>
            <w:vAlign w:val="center"/>
          </w:tcPr>
          <w:p>
            <w:pPr>
              <w:jc w:val="center"/>
              <w:rPr>
                <w:rFonts w:hint="eastAsia"/>
                <w:b/>
                <w:bCs/>
                <w:color w:val="000000"/>
                <w:sz w:val="24"/>
                <w:szCs w:val="24"/>
                <w:highlight w:val="none"/>
                <w:lang w:eastAsia="zh-CN"/>
              </w:rPr>
            </w:pPr>
            <w:r>
              <w:rPr>
                <w:rFonts w:hint="eastAsia" w:ascii="宋体" w:hAnsi="宋体" w:eastAsia="宋体" w:cs="宋体"/>
                <w:sz w:val="24"/>
                <w:szCs w:val="24"/>
                <w:highlight w:val="none"/>
              </w:rPr>
              <w:t>银行担保函</w:t>
            </w:r>
          </w:p>
        </w:tc>
        <w:tc>
          <w:tcPr>
            <w:tcW w:w="639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是否设置银行担保函（在□打√表示）：</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是 □否</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宋体"/>
                <w:sz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银行担保函形式：银行担保函的受益人为（采购人）、被保证人为</w:t>
            </w:r>
            <w:r>
              <w:rPr>
                <w:rFonts w:hint="eastAsia" w:ascii="宋体" w:hAnsi="宋体" w:eastAsia="宋体" w:cs="宋体"/>
                <w:sz w:val="24"/>
                <w:szCs w:val="24"/>
                <w:highlight w:val="none"/>
                <w:lang w:val="en-US" w:eastAsia="zh-CN"/>
              </w:rPr>
              <w:t>成交</w:t>
            </w:r>
            <w:r>
              <w:rPr>
                <w:rFonts w:hint="eastAsia" w:ascii="宋体" w:hAnsi="宋体" w:eastAsia="宋体" w:cs="宋体"/>
                <w:sz w:val="24"/>
                <w:szCs w:val="24"/>
                <w:highlight w:val="none"/>
              </w:rPr>
              <w:t xml:space="preserve">供应商、担保人为银行，担保金额为应收余额，有效期不少于合同余额性质约定的时效。 </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（二）质保期要求：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质量保证期（质保期）</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验收交付后连续</w:t>
      </w:r>
      <w:r>
        <w:rPr>
          <w:rFonts w:hint="eastAsia" w:ascii="宋体" w:hAnsi="宋体" w:eastAsia="宋体" w:cs="宋体"/>
          <w:b w:val="0"/>
          <w:bCs w:val="0"/>
          <w:sz w:val="24"/>
          <w:szCs w:val="24"/>
          <w:highlight w:val="none"/>
        </w:rPr>
        <w:t xml:space="preserve">正常使用累计满 </w:t>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年。</w:t>
      </w:r>
      <w:r>
        <w:rPr>
          <w:rFonts w:hint="eastAsia" w:ascii="宋体" w:hAnsi="宋体" w:eastAsia="宋体" w:cs="宋体"/>
          <w:b w:val="0"/>
          <w:bCs w:val="0"/>
          <w:sz w:val="24"/>
          <w:szCs w:val="24"/>
          <w:highlight w:val="none"/>
          <w:lang w:val="en-US" w:eastAsia="zh-CN"/>
        </w:rPr>
        <w:t>成交供应商承诺</w:t>
      </w:r>
      <w:r>
        <w:rPr>
          <w:rFonts w:hint="eastAsia" w:ascii="宋体" w:hAnsi="宋体" w:eastAsia="宋体" w:cs="宋体"/>
          <w:b w:val="0"/>
          <w:bCs w:val="0"/>
          <w:sz w:val="24"/>
          <w:szCs w:val="24"/>
          <w:highlight w:val="none"/>
        </w:rPr>
        <w:t>质量保证期（质保期）</w:t>
      </w:r>
      <w:r>
        <w:rPr>
          <w:rFonts w:hint="eastAsia" w:ascii="宋体" w:hAnsi="宋体" w:eastAsia="宋体" w:cs="宋体"/>
          <w:b w:val="0"/>
          <w:bCs w:val="0"/>
          <w:sz w:val="24"/>
          <w:szCs w:val="24"/>
          <w:highlight w:val="none"/>
          <w:lang w:val="en-US" w:eastAsia="zh-CN"/>
        </w:rPr>
        <w:t>期间如有质量问题，免费提供上门维护维修等。</w:t>
      </w:r>
      <w:r>
        <w:rPr>
          <w:rFonts w:hint="eastAsia" w:ascii="宋体" w:hAnsi="宋体" w:eastAsia="宋体" w:cs="宋体"/>
          <w:b/>
          <w:bCs/>
          <w:sz w:val="24"/>
          <w:szCs w:val="24"/>
          <w:highlight w:val="none"/>
          <w:lang w:val="en-US" w:eastAsia="zh-CN"/>
        </w:rPr>
        <w:t>（提供承诺函并加盖公章，格式自拟）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jc w:val="both"/>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color w:val="000000"/>
          <w:sz w:val="24"/>
          <w:szCs w:val="24"/>
          <w:lang w:val="en-US" w:eastAsia="zh-CN"/>
        </w:rPr>
        <w:t>质量保修期要求：</w:t>
      </w:r>
      <w:r>
        <w:rPr>
          <w:rFonts w:hint="eastAsia" w:ascii="宋体" w:hAnsi="宋体" w:eastAsia="宋体" w:cs="宋体"/>
          <w:b w:val="0"/>
          <w:bCs w:val="0"/>
          <w:color w:val="000000"/>
          <w:sz w:val="24"/>
          <w:szCs w:val="24"/>
        </w:rPr>
        <w:t xml:space="preserve">整体工程按照《建设工程质量管理条例》和《房屋建筑工程质量保修办法》执行。 </w:t>
      </w:r>
    </w:p>
    <w:p>
      <w:pPr>
        <w:pStyle w:val="48"/>
        <w:keepNext w:val="0"/>
        <w:keepLines w:val="0"/>
        <w:pageBreakBefore w:val="0"/>
        <w:widowControl w:val="0"/>
        <w:numPr>
          <w:ilvl w:val="0"/>
          <w:numId w:val="0"/>
        </w:numPr>
        <w:kinsoku/>
        <w:wordWrap/>
        <w:overflowPunct/>
        <w:topLinePunct w:val="0"/>
        <w:autoSpaceDE/>
        <w:autoSpaceDN/>
        <w:bidi w:val="0"/>
        <w:spacing w:line="360" w:lineRule="auto"/>
        <w:ind w:left="0" w:leftChars="0"/>
        <w:textAlignment w:val="auto"/>
        <w:outlineLvl w:val="9"/>
        <w:rPr>
          <w:rFonts w:hint="eastAsia" w:ascii="宋体" w:hAnsi="宋体" w:eastAsia="宋体" w:cs="宋体"/>
          <w:b/>
          <w:bCs/>
          <w:color w:val="000000"/>
          <w:sz w:val="24"/>
          <w:szCs w:val="24"/>
          <w:lang w:val="en-US" w:eastAsia="zh-CN"/>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质保期</w:t>
      </w:r>
      <w:r>
        <w:rPr>
          <w:rFonts w:hint="eastAsia" w:ascii="宋体" w:hAnsi="宋体" w:eastAsia="宋体" w:cs="宋体"/>
          <w:b w:val="0"/>
          <w:bCs w:val="0"/>
          <w:sz w:val="24"/>
          <w:szCs w:val="24"/>
          <w:lang w:eastAsia="zh-CN"/>
        </w:rPr>
        <w:t>其他</w:t>
      </w:r>
      <w:r>
        <w:rPr>
          <w:rFonts w:hint="eastAsia" w:ascii="宋体" w:hAnsi="宋体" w:eastAsia="宋体" w:cs="宋体"/>
          <w:b w:val="0"/>
          <w:bCs w:val="0"/>
          <w:sz w:val="24"/>
          <w:szCs w:val="24"/>
        </w:rPr>
        <w:t>要求</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质保期内</w:t>
      </w:r>
      <w:r>
        <w:rPr>
          <w:rFonts w:hint="eastAsia" w:ascii="宋体" w:hAnsi="宋体" w:cs="宋体"/>
          <w:b w:val="0"/>
          <w:bCs w:val="0"/>
          <w:sz w:val="24"/>
          <w:szCs w:val="24"/>
          <w:lang w:eastAsia="zh-CN"/>
        </w:rPr>
        <w:t>成交供应商</w:t>
      </w:r>
      <w:r>
        <w:rPr>
          <w:rFonts w:hint="eastAsia" w:ascii="宋体" w:hAnsi="宋体" w:eastAsia="宋体" w:cs="宋体"/>
          <w:b w:val="0"/>
          <w:bCs w:val="0"/>
          <w:sz w:val="24"/>
          <w:szCs w:val="24"/>
        </w:rPr>
        <w:t>对所供货物实行包修、包换、包维护保养。质保期内，在非人为因素情况下，一切维修换件保养费用和备品备件均由</w:t>
      </w:r>
      <w:r>
        <w:rPr>
          <w:rFonts w:hint="eastAsia" w:ascii="宋体" w:hAnsi="宋体" w:cs="宋体"/>
          <w:b w:val="0"/>
          <w:bCs w:val="0"/>
          <w:sz w:val="24"/>
          <w:szCs w:val="24"/>
          <w:lang w:eastAsia="zh-CN"/>
        </w:rPr>
        <w:t>成交供应商</w:t>
      </w:r>
      <w:r>
        <w:rPr>
          <w:rFonts w:hint="eastAsia" w:ascii="宋体" w:hAnsi="宋体" w:eastAsia="宋体" w:cs="宋体"/>
          <w:b w:val="0"/>
          <w:bCs w:val="0"/>
          <w:sz w:val="24"/>
          <w:szCs w:val="24"/>
        </w:rPr>
        <w:t>免费提供。</w:t>
      </w: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（三）本项目采用工程量清单计价方式报价。报价依据为：</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4632"/>
        <w:gridCol w:w="1527"/>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94" w:type="dxa"/>
            <w:shd w:val="clear" w:color="auto" w:fill="F3F3F3"/>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4632" w:type="dxa"/>
            <w:shd w:val="clear" w:color="auto" w:fill="F3F3F3"/>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
                <w:bCs/>
                <w:color w:val="auto"/>
                <w:sz w:val="24"/>
                <w:szCs w:val="24"/>
              </w:rPr>
              <w:t>报价执行标准</w:t>
            </w:r>
          </w:p>
        </w:tc>
        <w:tc>
          <w:tcPr>
            <w:tcW w:w="1527" w:type="dxa"/>
            <w:shd w:val="clear" w:color="auto" w:fill="F3F3F3"/>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
                <w:bCs/>
                <w:color w:val="auto"/>
                <w:sz w:val="24"/>
                <w:szCs w:val="24"/>
              </w:rPr>
              <w:t>发行时间</w:t>
            </w:r>
          </w:p>
        </w:tc>
        <w:tc>
          <w:tcPr>
            <w:tcW w:w="1986" w:type="dxa"/>
            <w:shd w:val="clear" w:color="auto" w:fill="F3F3F3"/>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
                <w:bCs/>
                <w:color w:val="auto"/>
                <w:sz w:val="24"/>
                <w:szCs w:val="24"/>
              </w:rPr>
              <w:t>文件编号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 w:type="dxa"/>
            <w:noWrap w:val="0"/>
            <w:vAlign w:val="center"/>
          </w:tcPr>
          <w:p>
            <w:pPr>
              <w:keepNext w:val="0"/>
              <w:keepLines w:val="0"/>
              <w:pageBreakBefore w:val="0"/>
              <w:numPr>
                <w:ilvl w:val="1"/>
                <w:numId w:val="3"/>
              </w:numPr>
              <w:tabs>
                <w:tab w:val="left" w:pos="173"/>
                <w:tab w:val="clear" w:pos="0"/>
              </w:tabs>
              <w:kinsoku/>
              <w:wordWrap/>
              <w:overflowPunct/>
              <w:topLinePunct w:val="0"/>
              <w:bidi w:val="0"/>
              <w:spacing w:line="360" w:lineRule="auto"/>
              <w:ind w:left="0"/>
              <w:jc w:val="center"/>
              <w:textAlignment w:val="auto"/>
              <w:rPr>
                <w:rFonts w:hint="eastAsia" w:ascii="宋体" w:hAnsi="宋体" w:eastAsia="宋体" w:cs="宋体"/>
                <w:b/>
                <w:bCs/>
                <w:color w:val="auto"/>
                <w:sz w:val="24"/>
                <w:szCs w:val="24"/>
              </w:rPr>
            </w:pPr>
          </w:p>
        </w:tc>
        <w:tc>
          <w:tcPr>
            <w:tcW w:w="4632"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《建设工程工程量清单计价规范》</w:t>
            </w:r>
          </w:p>
        </w:tc>
        <w:tc>
          <w:tcPr>
            <w:tcW w:w="1527"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2013年</w:t>
            </w:r>
          </w:p>
        </w:tc>
        <w:tc>
          <w:tcPr>
            <w:tcW w:w="1986"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"http://baike.baidu.com/link?url=l52H4vD8gAD96OLl3kKtu8F5kKSCHmm1CPLATX3vJ6queWFc-lCB7OLs9Ws0NONUh3ZbopAFHtoBnrkweMjCUa" \l "3_1" </w:instrText>
            </w:r>
            <w:r>
              <w:rPr>
                <w:rFonts w:hint="eastAsia" w:ascii="宋体" w:hAnsi="宋体" w:eastAsia="宋体" w:cs="宋体"/>
                <w:color w:val="auto"/>
                <w:sz w:val="24"/>
                <w:szCs w:val="24"/>
              </w:rPr>
              <w:fldChar w:fldCharType="separate"/>
            </w:r>
            <w:r>
              <w:rPr>
                <w:rFonts w:hint="eastAsia" w:ascii="宋体" w:hAnsi="宋体" w:eastAsia="宋体" w:cs="宋体"/>
                <w:bCs/>
                <w:color w:val="auto"/>
                <w:sz w:val="24"/>
                <w:szCs w:val="24"/>
              </w:rPr>
              <w:t>GB50500-2013</w:t>
            </w:r>
            <w:r>
              <w:rPr>
                <w:rFonts w:hint="eastAsia" w:ascii="宋体" w:hAnsi="宋体" w:eastAsia="宋体" w:cs="宋体"/>
                <w:bCs/>
                <w:color w:val="auto"/>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 w:type="dxa"/>
            <w:noWrap w:val="0"/>
            <w:vAlign w:val="center"/>
          </w:tcPr>
          <w:p>
            <w:pPr>
              <w:keepNext w:val="0"/>
              <w:keepLines w:val="0"/>
              <w:pageBreakBefore w:val="0"/>
              <w:numPr>
                <w:ilvl w:val="1"/>
                <w:numId w:val="3"/>
              </w:numPr>
              <w:tabs>
                <w:tab w:val="left" w:pos="173"/>
                <w:tab w:val="clear" w:pos="0"/>
              </w:tabs>
              <w:kinsoku/>
              <w:wordWrap/>
              <w:overflowPunct/>
              <w:topLinePunct w:val="0"/>
              <w:bidi w:val="0"/>
              <w:spacing w:line="360" w:lineRule="auto"/>
              <w:ind w:left="0"/>
              <w:jc w:val="center"/>
              <w:textAlignment w:val="auto"/>
              <w:rPr>
                <w:rFonts w:hint="eastAsia" w:ascii="宋体" w:hAnsi="宋体" w:eastAsia="宋体" w:cs="宋体"/>
                <w:b/>
                <w:bCs/>
                <w:color w:val="auto"/>
                <w:sz w:val="24"/>
                <w:szCs w:val="24"/>
              </w:rPr>
            </w:pPr>
          </w:p>
        </w:tc>
        <w:tc>
          <w:tcPr>
            <w:tcW w:w="4632"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房屋建筑与装饰工程工程量计算规范</w:t>
            </w:r>
          </w:p>
        </w:tc>
        <w:tc>
          <w:tcPr>
            <w:tcW w:w="1527"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2013年</w:t>
            </w:r>
          </w:p>
        </w:tc>
        <w:tc>
          <w:tcPr>
            <w:tcW w:w="1986"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GB50854--2013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 w:type="dxa"/>
            <w:noWrap w:val="0"/>
            <w:vAlign w:val="center"/>
          </w:tcPr>
          <w:p>
            <w:pPr>
              <w:keepNext w:val="0"/>
              <w:keepLines w:val="0"/>
              <w:pageBreakBefore w:val="0"/>
              <w:numPr>
                <w:ilvl w:val="1"/>
                <w:numId w:val="3"/>
              </w:numPr>
              <w:tabs>
                <w:tab w:val="left" w:pos="173"/>
                <w:tab w:val="clear" w:pos="0"/>
              </w:tabs>
              <w:kinsoku/>
              <w:wordWrap/>
              <w:overflowPunct/>
              <w:topLinePunct w:val="0"/>
              <w:bidi w:val="0"/>
              <w:spacing w:line="360" w:lineRule="auto"/>
              <w:ind w:left="0"/>
              <w:jc w:val="center"/>
              <w:textAlignment w:val="auto"/>
              <w:rPr>
                <w:rFonts w:hint="eastAsia" w:ascii="宋体" w:hAnsi="宋体" w:eastAsia="宋体" w:cs="宋体"/>
                <w:b/>
                <w:bCs/>
                <w:color w:val="auto"/>
                <w:sz w:val="24"/>
                <w:szCs w:val="24"/>
              </w:rPr>
            </w:pPr>
          </w:p>
        </w:tc>
        <w:tc>
          <w:tcPr>
            <w:tcW w:w="4632"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转发关于实施《房屋建筑与装饰工程工程量计算规范》（GB50854-2013)等若干意见的通知</w:t>
            </w:r>
          </w:p>
        </w:tc>
        <w:tc>
          <w:tcPr>
            <w:tcW w:w="1527"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2013年</w:t>
            </w:r>
          </w:p>
        </w:tc>
        <w:tc>
          <w:tcPr>
            <w:tcW w:w="1986"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佛建价[2013]17号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 w:type="dxa"/>
            <w:noWrap w:val="0"/>
            <w:vAlign w:val="center"/>
          </w:tcPr>
          <w:p>
            <w:pPr>
              <w:keepNext w:val="0"/>
              <w:keepLines w:val="0"/>
              <w:pageBreakBefore w:val="0"/>
              <w:numPr>
                <w:ilvl w:val="1"/>
                <w:numId w:val="3"/>
              </w:numPr>
              <w:tabs>
                <w:tab w:val="left" w:pos="173"/>
                <w:tab w:val="clear" w:pos="0"/>
              </w:tabs>
              <w:kinsoku/>
              <w:wordWrap/>
              <w:overflowPunct/>
              <w:topLinePunct w:val="0"/>
              <w:bidi w:val="0"/>
              <w:spacing w:line="360" w:lineRule="auto"/>
              <w:ind w:left="0"/>
              <w:jc w:val="center"/>
              <w:textAlignment w:val="auto"/>
              <w:rPr>
                <w:rFonts w:hint="eastAsia" w:ascii="宋体" w:hAnsi="宋体" w:eastAsia="宋体" w:cs="宋体"/>
                <w:b/>
                <w:bCs/>
                <w:color w:val="auto"/>
                <w:sz w:val="24"/>
                <w:szCs w:val="24"/>
              </w:rPr>
            </w:pPr>
          </w:p>
        </w:tc>
        <w:tc>
          <w:tcPr>
            <w:tcW w:w="4632"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佛山市建设工程造价站转发关于贯彻《园林绿化工程工程量计算规范》、《市政工程工程量计算规范》、《通用安装工程工程量计算规范》的实施意见的通知</w:t>
            </w:r>
          </w:p>
        </w:tc>
        <w:tc>
          <w:tcPr>
            <w:tcW w:w="1527"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2014年</w:t>
            </w:r>
          </w:p>
        </w:tc>
        <w:tc>
          <w:tcPr>
            <w:tcW w:w="1986"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佛建价[2014]2号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 w:type="dxa"/>
            <w:noWrap w:val="0"/>
            <w:vAlign w:val="center"/>
          </w:tcPr>
          <w:p>
            <w:pPr>
              <w:keepNext w:val="0"/>
              <w:keepLines w:val="0"/>
              <w:pageBreakBefore w:val="0"/>
              <w:numPr>
                <w:ilvl w:val="1"/>
                <w:numId w:val="3"/>
              </w:numPr>
              <w:tabs>
                <w:tab w:val="left" w:pos="173"/>
                <w:tab w:val="clear" w:pos="0"/>
              </w:tabs>
              <w:kinsoku/>
              <w:wordWrap/>
              <w:overflowPunct/>
              <w:topLinePunct w:val="0"/>
              <w:bidi w:val="0"/>
              <w:spacing w:line="360" w:lineRule="auto"/>
              <w:ind w:left="0"/>
              <w:jc w:val="center"/>
              <w:textAlignment w:val="auto"/>
              <w:rPr>
                <w:rFonts w:hint="eastAsia" w:ascii="宋体" w:hAnsi="宋体" w:eastAsia="宋体" w:cs="宋体"/>
                <w:b/>
                <w:bCs/>
                <w:color w:val="auto"/>
                <w:sz w:val="24"/>
                <w:szCs w:val="24"/>
              </w:rPr>
            </w:pPr>
          </w:p>
        </w:tc>
        <w:tc>
          <w:tcPr>
            <w:tcW w:w="4632"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关于调整《〈广东省建筑与装饰工程综合定额〉（2010）金属结构工程——钢结构》钢结构构件</w:t>
            </w:r>
          </w:p>
        </w:tc>
        <w:tc>
          <w:tcPr>
            <w:tcW w:w="1527"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2013年</w:t>
            </w:r>
          </w:p>
        </w:tc>
        <w:tc>
          <w:tcPr>
            <w:tcW w:w="1986"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粤建造发[2013]3号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 w:type="dxa"/>
            <w:noWrap w:val="0"/>
            <w:vAlign w:val="center"/>
          </w:tcPr>
          <w:p>
            <w:pPr>
              <w:keepNext w:val="0"/>
              <w:keepLines w:val="0"/>
              <w:pageBreakBefore w:val="0"/>
              <w:numPr>
                <w:ilvl w:val="1"/>
                <w:numId w:val="3"/>
              </w:numPr>
              <w:tabs>
                <w:tab w:val="left" w:pos="173"/>
                <w:tab w:val="clear" w:pos="0"/>
              </w:tabs>
              <w:kinsoku/>
              <w:wordWrap/>
              <w:overflowPunct/>
              <w:topLinePunct w:val="0"/>
              <w:bidi w:val="0"/>
              <w:spacing w:line="360" w:lineRule="auto"/>
              <w:ind w:left="0"/>
              <w:jc w:val="center"/>
              <w:textAlignment w:val="auto"/>
              <w:rPr>
                <w:rFonts w:hint="eastAsia" w:ascii="宋体" w:hAnsi="宋体" w:eastAsia="宋体" w:cs="宋体"/>
                <w:b/>
                <w:bCs/>
                <w:color w:val="auto"/>
                <w:sz w:val="24"/>
                <w:szCs w:val="24"/>
              </w:rPr>
            </w:pPr>
          </w:p>
        </w:tc>
        <w:tc>
          <w:tcPr>
            <w:tcW w:w="4632"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《广东省建设工程计价依据》</w:t>
            </w:r>
          </w:p>
        </w:tc>
        <w:tc>
          <w:tcPr>
            <w:tcW w:w="1527"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201</w:t>
            </w: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rPr>
              <w:t>年</w:t>
            </w:r>
          </w:p>
        </w:tc>
        <w:tc>
          <w:tcPr>
            <w:tcW w:w="1986"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 w:type="dxa"/>
            <w:noWrap w:val="0"/>
            <w:vAlign w:val="center"/>
          </w:tcPr>
          <w:p>
            <w:pPr>
              <w:keepNext w:val="0"/>
              <w:keepLines w:val="0"/>
              <w:pageBreakBefore w:val="0"/>
              <w:numPr>
                <w:ilvl w:val="1"/>
                <w:numId w:val="3"/>
              </w:numPr>
              <w:tabs>
                <w:tab w:val="left" w:pos="173"/>
                <w:tab w:val="clear" w:pos="0"/>
              </w:tabs>
              <w:kinsoku/>
              <w:wordWrap/>
              <w:overflowPunct/>
              <w:topLinePunct w:val="0"/>
              <w:bidi w:val="0"/>
              <w:spacing w:line="360" w:lineRule="auto"/>
              <w:ind w:left="0"/>
              <w:jc w:val="center"/>
              <w:textAlignment w:val="auto"/>
              <w:rPr>
                <w:rFonts w:hint="eastAsia" w:ascii="宋体" w:hAnsi="宋体" w:eastAsia="宋体" w:cs="宋体"/>
                <w:b/>
                <w:bCs/>
                <w:color w:val="auto"/>
                <w:sz w:val="24"/>
                <w:szCs w:val="24"/>
              </w:rPr>
            </w:pPr>
          </w:p>
        </w:tc>
        <w:tc>
          <w:tcPr>
            <w:tcW w:w="4632"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定额执行：《广东省房屋建筑与装饰工程综合定额》及配套文件</w:t>
            </w:r>
          </w:p>
        </w:tc>
        <w:tc>
          <w:tcPr>
            <w:tcW w:w="1527"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201</w:t>
            </w: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rPr>
              <w:t>年</w:t>
            </w:r>
          </w:p>
        </w:tc>
        <w:tc>
          <w:tcPr>
            <w:tcW w:w="1986"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 w:type="dxa"/>
            <w:noWrap w:val="0"/>
            <w:vAlign w:val="center"/>
          </w:tcPr>
          <w:p>
            <w:pPr>
              <w:keepNext w:val="0"/>
              <w:keepLines w:val="0"/>
              <w:pageBreakBefore w:val="0"/>
              <w:numPr>
                <w:ilvl w:val="1"/>
                <w:numId w:val="3"/>
              </w:numPr>
              <w:tabs>
                <w:tab w:val="left" w:pos="173"/>
                <w:tab w:val="clear" w:pos="0"/>
              </w:tabs>
              <w:kinsoku/>
              <w:wordWrap/>
              <w:overflowPunct/>
              <w:topLinePunct w:val="0"/>
              <w:bidi w:val="0"/>
              <w:spacing w:line="360" w:lineRule="auto"/>
              <w:ind w:left="0"/>
              <w:jc w:val="center"/>
              <w:textAlignment w:val="auto"/>
              <w:rPr>
                <w:rFonts w:hint="eastAsia" w:ascii="宋体" w:hAnsi="宋体" w:eastAsia="宋体" w:cs="宋体"/>
                <w:b/>
                <w:bCs/>
                <w:color w:val="auto"/>
                <w:sz w:val="24"/>
                <w:szCs w:val="24"/>
              </w:rPr>
            </w:pPr>
          </w:p>
        </w:tc>
        <w:tc>
          <w:tcPr>
            <w:tcW w:w="4632"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《佛山工程造价信息》</w:t>
            </w:r>
          </w:p>
        </w:tc>
        <w:tc>
          <w:tcPr>
            <w:tcW w:w="1527"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最新</w:t>
            </w:r>
          </w:p>
        </w:tc>
        <w:tc>
          <w:tcPr>
            <w:tcW w:w="1986"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 w:type="dxa"/>
            <w:noWrap w:val="0"/>
            <w:vAlign w:val="center"/>
          </w:tcPr>
          <w:p>
            <w:pPr>
              <w:keepNext w:val="0"/>
              <w:keepLines w:val="0"/>
              <w:pageBreakBefore w:val="0"/>
              <w:numPr>
                <w:ilvl w:val="1"/>
                <w:numId w:val="3"/>
              </w:numPr>
              <w:tabs>
                <w:tab w:val="left" w:pos="173"/>
                <w:tab w:val="clear" w:pos="0"/>
              </w:tabs>
              <w:kinsoku/>
              <w:wordWrap/>
              <w:overflowPunct/>
              <w:topLinePunct w:val="0"/>
              <w:bidi w:val="0"/>
              <w:spacing w:line="360" w:lineRule="auto"/>
              <w:ind w:left="0"/>
              <w:jc w:val="center"/>
              <w:textAlignment w:val="auto"/>
              <w:rPr>
                <w:rFonts w:hint="eastAsia" w:ascii="宋体" w:hAnsi="宋体" w:eastAsia="宋体" w:cs="宋体"/>
                <w:b/>
                <w:bCs/>
                <w:color w:val="auto"/>
                <w:sz w:val="24"/>
                <w:szCs w:val="24"/>
              </w:rPr>
            </w:pPr>
          </w:p>
        </w:tc>
        <w:tc>
          <w:tcPr>
            <w:tcW w:w="4632"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广东省或佛山市发布的其他计价规定</w:t>
            </w:r>
          </w:p>
        </w:tc>
        <w:tc>
          <w:tcPr>
            <w:tcW w:w="1527"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最新</w:t>
            </w:r>
          </w:p>
        </w:tc>
        <w:tc>
          <w:tcPr>
            <w:tcW w:w="1986" w:type="dxa"/>
            <w:noWrap w:val="0"/>
            <w:vAlign w:val="center"/>
          </w:tcPr>
          <w:p>
            <w:pPr>
              <w:keepNext w:val="0"/>
              <w:keepLines w:val="0"/>
              <w:pageBreakBefore w:val="0"/>
              <w:kinsoku/>
              <w:wordWrap/>
              <w:overflowPunct/>
              <w:topLinePunct w:val="0"/>
              <w:bidi w:val="0"/>
              <w:spacing w:line="360" w:lineRule="auto"/>
              <w:ind w:left="0"/>
              <w:jc w:val="center"/>
              <w:textAlignment w:val="auto"/>
              <w:rPr>
                <w:rFonts w:hint="eastAsia" w:ascii="宋体" w:hAnsi="宋体" w:eastAsia="宋体" w:cs="宋体"/>
                <w:bCs/>
                <w:color w:val="auto"/>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（四）工程量清单通用说明</w:t>
      </w:r>
    </w:p>
    <w:p>
      <w:pPr>
        <w:keepNext w:val="0"/>
        <w:keepLines w:val="0"/>
        <w:pageBreakBefore w:val="0"/>
        <w:numPr>
          <w:ilvl w:val="0"/>
          <w:numId w:val="0"/>
        </w:numPr>
        <w:kinsoku/>
        <w:wordWrap/>
        <w:overflowPunct/>
        <w:topLinePunct w:val="0"/>
        <w:autoSpaceDE w:val="0"/>
        <w:autoSpaceDN w:val="0"/>
        <w:bidi w:val="0"/>
        <w:adjustRightInd w:val="0"/>
        <w:spacing w:line="360" w:lineRule="auto"/>
        <w:ind w:left="0"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1、本清单执行国家标准《建设工程工程量清单计价规范》(GB50500-2013)及201</w:t>
      </w:r>
      <w:r>
        <w:rPr>
          <w:rFonts w:hint="eastAsia" w:ascii="宋体" w:hAnsi="宋体" w:cs="宋体"/>
          <w:sz w:val="24"/>
          <w:szCs w:val="24"/>
          <w:lang w:val="en-US" w:eastAsia="zh-CN"/>
        </w:rPr>
        <w:t>8</w:t>
      </w:r>
      <w:r>
        <w:rPr>
          <w:rFonts w:hint="eastAsia" w:ascii="宋体" w:hAnsi="宋体" w:eastAsia="宋体" w:cs="宋体"/>
          <w:sz w:val="24"/>
          <w:szCs w:val="24"/>
          <w:lang w:val="en-US" w:eastAsia="zh-CN"/>
        </w:rPr>
        <w:t>年《</w:t>
      </w:r>
      <w:r>
        <w:rPr>
          <w:rFonts w:hint="eastAsia" w:ascii="宋体" w:hAnsi="宋体" w:eastAsia="宋体" w:cs="宋体"/>
          <w:bCs/>
          <w:color w:val="auto"/>
          <w:sz w:val="24"/>
          <w:szCs w:val="24"/>
        </w:rPr>
        <w:t>广东省建设工程计价依据</w:t>
      </w:r>
      <w:r>
        <w:rPr>
          <w:rFonts w:hint="eastAsia" w:ascii="宋体" w:hAnsi="宋体" w:eastAsia="宋体" w:cs="宋体"/>
          <w:sz w:val="24"/>
          <w:szCs w:val="24"/>
          <w:lang w:val="en-US" w:eastAsia="zh-CN"/>
        </w:rPr>
        <w:t>》。</w:t>
      </w:r>
    </w:p>
    <w:p>
      <w:pPr>
        <w:keepNext w:val="0"/>
        <w:keepLines w:val="0"/>
        <w:pageBreakBefore w:val="0"/>
        <w:numPr>
          <w:ilvl w:val="0"/>
          <w:numId w:val="0"/>
        </w:numPr>
        <w:kinsoku/>
        <w:wordWrap/>
        <w:overflowPunct/>
        <w:topLinePunct w:val="0"/>
        <w:autoSpaceDE w:val="0"/>
        <w:autoSpaceDN w:val="0"/>
        <w:bidi w:val="0"/>
        <w:adjustRightInd w:val="0"/>
        <w:spacing w:line="360" w:lineRule="auto"/>
        <w:ind w:left="0"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本项目报价应以本采购文件的工程量清单为准，不得有缺漏项。供应商应根据采购文件、工程实际情况，结合企业的承受能力，充分考虑施工期间各类材料的市场价格变化和可能的国家政策性调整确定风险，根据采购人提供的工程量清单填报单价和合价（工程量清单内容不得擅自变更，否则作无效处理），并对填写的单价、合价负责。每一个项目只允许有一个报价。任何有选择的报价将不予接受。</w:t>
      </w:r>
    </w:p>
    <w:p>
      <w:pPr>
        <w:keepNext w:val="0"/>
        <w:keepLines w:val="0"/>
        <w:pageBreakBefore w:val="0"/>
        <w:numPr>
          <w:ilvl w:val="0"/>
          <w:numId w:val="0"/>
        </w:numPr>
        <w:kinsoku/>
        <w:wordWrap/>
        <w:overflowPunct/>
        <w:topLinePunct w:val="0"/>
        <w:autoSpaceDE w:val="0"/>
        <w:autoSpaceDN w:val="0"/>
        <w:bidi w:val="0"/>
        <w:adjustRightInd w:val="0"/>
        <w:spacing w:line="360" w:lineRule="auto"/>
        <w:ind w:left="0"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3、本工程量清单报价表中的每一单项均应填写单价和合价，对没有填写单价和合价的项目费用，在实施后，采购人将不予以支付，并视为该项费用已包含在工程量清单的其他有价款的单价或合价内。</w:t>
      </w:r>
    </w:p>
    <w:p>
      <w:pPr>
        <w:keepNext w:val="0"/>
        <w:keepLines w:val="0"/>
        <w:pageBreakBefore w:val="0"/>
        <w:numPr>
          <w:ilvl w:val="0"/>
          <w:numId w:val="0"/>
        </w:numPr>
        <w:kinsoku/>
        <w:wordWrap/>
        <w:overflowPunct/>
        <w:topLinePunct w:val="0"/>
        <w:autoSpaceDE w:val="0"/>
        <w:autoSpaceDN w:val="0"/>
        <w:bidi w:val="0"/>
        <w:adjustRightInd w:val="0"/>
        <w:spacing w:line="360" w:lineRule="auto"/>
        <w:ind w:left="0"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4、供应商除按照工程量清单填报所有工程项目的综合单价外，还应提供相应的综合单价分析，以便评审时审查综合单价的合理性。</w:t>
      </w:r>
      <w:r>
        <w:rPr>
          <w:rFonts w:hint="eastAsia" w:ascii="宋体" w:hAnsi="宋体" w:eastAsia="宋体" w:cs="宋体"/>
          <w:b/>
          <w:bCs/>
          <w:sz w:val="24"/>
          <w:szCs w:val="24"/>
          <w:lang w:val="en-US" w:eastAsia="zh-CN"/>
        </w:rPr>
        <w:t>没有提交工程量清单综合单价分析表的供应商按无效处理。</w:t>
      </w:r>
    </w:p>
    <w:p>
      <w:pPr>
        <w:keepNext w:val="0"/>
        <w:keepLines w:val="0"/>
        <w:pageBreakBefore w:val="0"/>
        <w:numPr>
          <w:ilvl w:val="0"/>
          <w:numId w:val="0"/>
        </w:numPr>
        <w:kinsoku/>
        <w:wordWrap/>
        <w:overflowPunct/>
        <w:topLinePunct w:val="0"/>
        <w:autoSpaceDE w:val="0"/>
        <w:autoSpaceDN w:val="0"/>
        <w:bidi w:val="0"/>
        <w:adjustRightInd w:val="0"/>
        <w:spacing w:line="360" w:lineRule="auto"/>
        <w:ind w:left="0"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5、工程量清单及其计价格式所有要求签字、盖章的地方，必须由规定的单位和人员签字盖章。</w:t>
      </w:r>
    </w:p>
    <w:p>
      <w:pPr>
        <w:keepNext w:val="0"/>
        <w:keepLines w:val="0"/>
        <w:pageBreakBefore w:val="0"/>
        <w:numPr>
          <w:ilvl w:val="0"/>
          <w:numId w:val="0"/>
        </w:numPr>
        <w:kinsoku/>
        <w:wordWrap/>
        <w:overflowPunct/>
        <w:topLinePunct w:val="0"/>
        <w:autoSpaceDE w:val="0"/>
        <w:autoSpaceDN w:val="0"/>
        <w:bidi w:val="0"/>
        <w:adjustRightInd w:val="0"/>
        <w:spacing w:line="360" w:lineRule="auto"/>
        <w:ind w:left="0"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6、工程量清单报价表中所填入的综合单价和合价均包括人工费、材料费、机械费、管理费、利润、以及风险金等全部费用。</w:t>
      </w:r>
    </w:p>
    <w:p>
      <w:pPr>
        <w:keepNext w:val="0"/>
        <w:keepLines w:val="0"/>
        <w:pageBreakBefore w:val="0"/>
        <w:numPr>
          <w:ilvl w:val="0"/>
          <w:numId w:val="0"/>
        </w:numPr>
        <w:kinsoku/>
        <w:wordWrap/>
        <w:overflowPunct/>
        <w:topLinePunct w:val="0"/>
        <w:autoSpaceDE w:val="0"/>
        <w:autoSpaceDN w:val="0"/>
        <w:bidi w:val="0"/>
        <w:adjustRightInd w:val="0"/>
        <w:spacing w:line="360" w:lineRule="auto"/>
        <w:ind w:left="0"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7、措施项目报价表中所填入的措施项目报价，包括为完成本工程项目施工必须采取的措施所发生的费用。</w:t>
      </w:r>
    </w:p>
    <w:p>
      <w:pPr>
        <w:keepNext w:val="0"/>
        <w:keepLines w:val="0"/>
        <w:pageBreakBefore w:val="0"/>
        <w:numPr>
          <w:ilvl w:val="0"/>
          <w:numId w:val="0"/>
        </w:numPr>
        <w:kinsoku/>
        <w:wordWrap/>
        <w:overflowPunct/>
        <w:topLinePunct w:val="0"/>
        <w:autoSpaceDE w:val="0"/>
        <w:autoSpaceDN w:val="0"/>
        <w:bidi w:val="0"/>
        <w:adjustRightInd w:val="0"/>
        <w:spacing w:line="360" w:lineRule="auto"/>
        <w:ind w:left="0"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8、其他项目报价表中所填入的其他项目报价，包括工程量清单报价表和措施项目报价表以外的，为完成本工程项目施工必须发生的其他费用。</w:t>
      </w:r>
    </w:p>
    <w:p>
      <w:pPr>
        <w:keepNext w:val="0"/>
        <w:keepLines w:val="0"/>
        <w:pageBreakBefore w:val="0"/>
        <w:numPr>
          <w:ilvl w:val="0"/>
          <w:numId w:val="0"/>
        </w:numPr>
        <w:kinsoku/>
        <w:wordWrap/>
        <w:overflowPunct/>
        <w:topLinePunct w:val="0"/>
        <w:autoSpaceDE w:val="0"/>
        <w:autoSpaceDN w:val="0"/>
        <w:bidi w:val="0"/>
        <w:adjustRightInd w:val="0"/>
        <w:spacing w:line="360" w:lineRule="auto"/>
        <w:ind w:left="0"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9、本项目绿色施工安全防护措施费费用、规费和税费的计取办法须按国家的税费政策、项目所在地的最新计价政策与计价规定执行。</w:t>
      </w:r>
    </w:p>
    <w:p>
      <w:pPr>
        <w:keepNext w:val="0"/>
        <w:keepLines w:val="0"/>
        <w:pageBreakBefore w:val="0"/>
        <w:numPr>
          <w:ilvl w:val="0"/>
          <w:numId w:val="0"/>
        </w:numPr>
        <w:kinsoku/>
        <w:wordWrap/>
        <w:overflowPunct/>
        <w:topLinePunct w:val="0"/>
        <w:autoSpaceDE w:val="0"/>
        <w:autoSpaceDN w:val="0"/>
        <w:bidi w:val="0"/>
        <w:adjustRightInd w:val="0"/>
        <w:spacing w:line="360" w:lineRule="auto"/>
        <w:ind w:left="0"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10、本项目的绿色施工安全防护措施费费用必须在报价中列明，且包含在报价内；绿色施工安全防护措施费必须专款专用。</w:t>
      </w:r>
    </w:p>
    <w:p>
      <w:pPr>
        <w:keepNext w:val="0"/>
        <w:keepLines w:val="0"/>
        <w:pageBreakBefore w:val="0"/>
        <w:numPr>
          <w:ilvl w:val="0"/>
          <w:numId w:val="0"/>
        </w:numPr>
        <w:kinsoku/>
        <w:wordWrap/>
        <w:overflowPunct/>
        <w:topLinePunct w:val="0"/>
        <w:autoSpaceDE w:val="0"/>
        <w:autoSpaceDN w:val="0"/>
        <w:bidi w:val="0"/>
        <w:adjustRightInd w:val="0"/>
        <w:spacing w:line="360" w:lineRule="auto"/>
        <w:ind w:left="0"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11、材料检测试验费需在其它项目里列出。</w:t>
      </w:r>
    </w:p>
    <w:p>
      <w:pPr>
        <w:keepNext w:val="0"/>
        <w:keepLines w:val="0"/>
        <w:pageBreakBefore w:val="0"/>
        <w:numPr>
          <w:ilvl w:val="0"/>
          <w:numId w:val="0"/>
        </w:numPr>
        <w:kinsoku/>
        <w:wordWrap/>
        <w:overflowPunct/>
        <w:topLinePunct w:val="0"/>
        <w:autoSpaceDE w:val="0"/>
        <w:autoSpaceDN w:val="0"/>
        <w:bidi w:val="0"/>
        <w:adjustRightInd w:val="0"/>
        <w:spacing w:line="360" w:lineRule="auto"/>
        <w:ind w:left="0"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其他做法详见图纸及相关说明。 </w:t>
      </w: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（五）工程款变更</w:t>
      </w:r>
    </w:p>
    <w:p>
      <w:pPr>
        <w:keepNext w:val="0"/>
        <w:keepLines w:val="0"/>
        <w:pageBreakBefore w:val="0"/>
        <w:kinsoku/>
        <w:wordWrap/>
        <w:overflowPunct/>
        <w:topLinePunct w:val="0"/>
        <w:bidi w:val="0"/>
        <w:spacing w:line="360" w:lineRule="auto"/>
        <w:ind w:left="0" w:firstLine="480" w:firstLineChars="200"/>
        <w:textAlignment w:val="auto"/>
        <w:rPr>
          <w:rFonts w:hint="eastAsia" w:ascii="宋体" w:hAnsi="宋体" w:eastAsia="宋体" w:cs="宋体"/>
          <w:bCs/>
          <w:sz w:val="24"/>
          <w:szCs w:val="24"/>
        </w:rPr>
      </w:pPr>
      <w:r>
        <w:rPr>
          <w:rFonts w:hint="eastAsia" w:ascii="宋体" w:hAnsi="宋体" w:eastAsia="宋体" w:cs="宋体"/>
          <w:sz w:val="24"/>
          <w:szCs w:val="24"/>
        </w:rPr>
        <w:t>采购文件约定结算时允许变更时，施工过程中有设计变更或根据实际情况需要变更的，以设计变更或采购人、监理单位</w:t>
      </w:r>
      <w:r>
        <w:rPr>
          <w:rFonts w:hint="eastAsia" w:ascii="宋体" w:hAnsi="宋体" w:eastAsia="宋体" w:cs="宋体"/>
          <w:sz w:val="24"/>
          <w:szCs w:val="24"/>
          <w:lang w:eastAsia="zh-CN"/>
        </w:rPr>
        <w:t>（如有）</w:t>
      </w:r>
      <w:r>
        <w:rPr>
          <w:rFonts w:hint="eastAsia" w:ascii="宋体" w:hAnsi="宋体" w:eastAsia="宋体" w:cs="宋体"/>
          <w:sz w:val="24"/>
          <w:szCs w:val="24"/>
        </w:rPr>
        <w:t>确认的现场签证的内容为准（设计变更必须经设计单位、监理单位</w:t>
      </w:r>
      <w:r>
        <w:rPr>
          <w:rFonts w:hint="eastAsia" w:ascii="宋体" w:hAnsi="宋体" w:eastAsia="宋体" w:cs="宋体"/>
          <w:sz w:val="24"/>
          <w:szCs w:val="24"/>
          <w:lang w:eastAsia="zh-CN"/>
        </w:rPr>
        <w:t>（如有）</w:t>
      </w:r>
      <w:r>
        <w:rPr>
          <w:rFonts w:hint="eastAsia" w:ascii="宋体" w:hAnsi="宋体" w:eastAsia="宋体" w:cs="宋体"/>
          <w:sz w:val="24"/>
          <w:szCs w:val="24"/>
        </w:rPr>
        <w:t>、采购人确认才有效），</w:t>
      </w:r>
      <w:r>
        <w:rPr>
          <w:rFonts w:hint="eastAsia" w:ascii="宋体" w:hAnsi="宋体" w:eastAsia="宋体" w:cs="宋体"/>
          <w:bCs/>
          <w:sz w:val="24"/>
          <w:szCs w:val="24"/>
        </w:rPr>
        <w:t>工程量的增加或减少时按以下原则处理：</w:t>
      </w:r>
    </w:p>
    <w:p>
      <w:pPr>
        <w:keepNext w:val="0"/>
        <w:keepLines w:val="0"/>
        <w:pageBreakBefore w:val="0"/>
        <w:kinsoku/>
        <w:wordWrap/>
        <w:overflowPunct/>
        <w:topLinePunct w:val="0"/>
        <w:bidi w:val="0"/>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原报价中没有的工程项目和暂列金额的项目，按照实际发生的工程量，由成交供应商参考广东省2013年相应的建设工程计价依据和施工期间相对应的建设主管部门发布的人工、材料、机械参考价和市场价确定清单单价，下浮率的计算公式为L＝(1－成交价格／项目预算金额)×100%，公式中的成交价格、项目预算金额均扣除</w:t>
      </w:r>
      <w:r>
        <w:rPr>
          <w:rFonts w:hint="eastAsia" w:ascii="宋体" w:hAnsi="宋体" w:eastAsia="宋体" w:cs="宋体"/>
          <w:sz w:val="24"/>
          <w:szCs w:val="24"/>
          <w:lang w:eastAsia="zh-CN"/>
        </w:rPr>
        <w:t>绿色施工安全防护措施费、暂列金额</w:t>
      </w:r>
      <w:r>
        <w:rPr>
          <w:rFonts w:hint="eastAsia" w:ascii="宋体" w:hAnsi="宋体" w:eastAsia="宋体" w:cs="宋体"/>
          <w:sz w:val="24"/>
          <w:szCs w:val="24"/>
        </w:rPr>
        <w:t>和专业工程暂估价这部分的含规费、含税造价造价，由采购人及监理工程师审核确认后方能生效；</w:t>
      </w:r>
    </w:p>
    <w:p>
      <w:pPr>
        <w:keepNext w:val="0"/>
        <w:keepLines w:val="0"/>
        <w:pageBreakBefore w:val="0"/>
        <w:kinsoku/>
        <w:wordWrap/>
        <w:overflowPunct/>
        <w:topLinePunct w:val="0"/>
        <w:bidi w:val="0"/>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措施项目费和其他项目费及非实体工程费用一律不作调整，作费用包干处理；</w:t>
      </w:r>
    </w:p>
    <w:p>
      <w:pPr>
        <w:keepNext w:val="0"/>
        <w:keepLines w:val="0"/>
        <w:pageBreakBefore w:val="0"/>
        <w:kinsoku/>
        <w:wordWrap/>
        <w:overflowPunct/>
        <w:topLinePunct w:val="0"/>
        <w:bidi w:val="0"/>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变更的工程最终结算价以</w:t>
      </w:r>
      <w:r>
        <w:rPr>
          <w:rFonts w:hint="eastAsia" w:ascii="宋体" w:hAnsi="宋体" w:eastAsia="宋体" w:cs="宋体"/>
          <w:sz w:val="24"/>
          <w:szCs w:val="24"/>
          <w:u w:val="single"/>
        </w:rPr>
        <w:t xml:space="preserve">  采购人委托的第三方造价机构  </w:t>
      </w:r>
      <w:r>
        <w:rPr>
          <w:rFonts w:hint="eastAsia" w:ascii="宋体" w:hAnsi="宋体" w:eastAsia="宋体" w:cs="宋体"/>
          <w:sz w:val="24"/>
          <w:szCs w:val="24"/>
        </w:rPr>
        <w:t>审定的结果为准。</w:t>
      </w: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（六）关于工程中货物的要求</w:t>
      </w:r>
    </w:p>
    <w:p>
      <w:pPr>
        <w:keepNext w:val="0"/>
        <w:keepLines w:val="0"/>
        <w:pageBreakBefore w:val="0"/>
        <w:kinsoku/>
        <w:wordWrap/>
        <w:overflowPunct/>
        <w:topLinePunct w:val="0"/>
        <w:bidi w:val="0"/>
        <w:spacing w:line="360" w:lineRule="auto"/>
        <w:ind w:left="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供货渠道：</w:t>
      </w:r>
    </w:p>
    <w:p>
      <w:pPr>
        <w:keepNext w:val="0"/>
        <w:keepLines w:val="0"/>
        <w:pageBreakBefore w:val="0"/>
        <w:kinsoku/>
        <w:wordWrap/>
        <w:overflowPunct/>
        <w:topLinePunct w:val="0"/>
        <w:bidi w:val="0"/>
        <w:spacing w:line="360" w:lineRule="auto"/>
        <w:ind w:left="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所有产品均由制造商或其授权的分销机构所提供，具有合法透明的供货渠道，供应商及制造商须提供其产品品质和一切售后服务保障。</w:t>
      </w:r>
    </w:p>
    <w:p>
      <w:pPr>
        <w:keepNext w:val="0"/>
        <w:keepLines w:val="0"/>
        <w:pageBreakBefore w:val="0"/>
        <w:kinsoku/>
        <w:wordWrap/>
        <w:overflowPunct/>
        <w:topLinePunct w:val="0"/>
        <w:bidi w:val="0"/>
        <w:spacing w:line="360" w:lineRule="auto"/>
        <w:ind w:left="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售后服务基本要求：</w:t>
      </w:r>
    </w:p>
    <w:p>
      <w:pPr>
        <w:keepNext w:val="0"/>
        <w:keepLines w:val="0"/>
        <w:pageBreakBefore w:val="0"/>
        <w:kinsoku/>
        <w:wordWrap/>
        <w:overflowPunct/>
        <w:topLinePunct w:val="0"/>
        <w:bidi w:val="0"/>
        <w:spacing w:line="360" w:lineRule="auto"/>
        <w:ind w:lef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（1）质保期内</w:t>
      </w:r>
      <w:r>
        <w:rPr>
          <w:rFonts w:hint="eastAsia" w:ascii="宋体" w:hAnsi="宋体" w:cs="宋体"/>
          <w:sz w:val="24"/>
          <w:szCs w:val="24"/>
          <w:lang w:val="en-US" w:eastAsia="zh-CN"/>
        </w:rPr>
        <w:t>成交供应商</w:t>
      </w:r>
      <w:r>
        <w:rPr>
          <w:rFonts w:hint="eastAsia" w:ascii="宋体" w:hAnsi="宋体" w:eastAsia="宋体" w:cs="宋体"/>
          <w:sz w:val="24"/>
          <w:szCs w:val="24"/>
          <w:lang w:val="en-US" w:eastAsia="zh-CN"/>
        </w:rPr>
        <w:t>对所供货物实行包修、包换、包退、包维护保养。质保期内，在非人为因素情况下，一切维修换件保养费用和备品备件均由成交供应商免费提供。如设备或零部件非人为因素出现故障而造成短期停用时，则质保期和免费维修期相应顺延。如货物因自身故障致停用时间累计超过20天时，则质保期在状态恢复正常时归零重新计算或对故障设备予以重新更换。</w:t>
      </w:r>
    </w:p>
    <w:p>
      <w:pPr>
        <w:keepNext w:val="0"/>
        <w:keepLines w:val="0"/>
        <w:pageBreakBefore w:val="0"/>
        <w:kinsoku/>
        <w:wordWrap/>
        <w:overflowPunct/>
        <w:topLinePunct w:val="0"/>
        <w:bidi w:val="0"/>
        <w:spacing w:line="360" w:lineRule="auto"/>
        <w:ind w:lef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（2）质保期内提供周期上门免费服务：周期为3个月一次，形式为预约上门，服务内容为周期保养检修、处理使用过程中出现的问题等。</w:t>
      </w:r>
    </w:p>
    <w:p>
      <w:pPr>
        <w:keepNext w:val="0"/>
        <w:keepLines w:val="0"/>
        <w:pageBreakBefore w:val="0"/>
        <w:kinsoku/>
        <w:wordWrap/>
        <w:overflowPunct/>
        <w:topLinePunct w:val="0"/>
        <w:bidi w:val="0"/>
        <w:spacing w:line="360" w:lineRule="auto"/>
        <w:ind w:lef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（3）设有稳定的售后服务机构，并提供常设每周5天×8小时服务专线和长期的免费技术支持。对采购人的服务通知，在接报后1小时内响应，</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小时内到达现场，24小时内处理完毕。若主要设备的故障在24小时内仍未处理完毕，</w:t>
      </w:r>
      <w:r>
        <w:rPr>
          <w:rFonts w:hint="eastAsia" w:ascii="宋体" w:hAnsi="宋体" w:cs="宋体"/>
          <w:sz w:val="24"/>
          <w:szCs w:val="24"/>
          <w:lang w:val="en-US" w:eastAsia="zh-CN"/>
        </w:rPr>
        <w:t>成交供应商</w:t>
      </w:r>
      <w:r>
        <w:rPr>
          <w:rFonts w:hint="eastAsia" w:ascii="宋体" w:hAnsi="宋体" w:eastAsia="宋体" w:cs="宋体"/>
          <w:sz w:val="24"/>
          <w:szCs w:val="24"/>
          <w:lang w:val="en-US" w:eastAsia="zh-CN"/>
        </w:rPr>
        <w:t>必须免费提供相同档次的设备予采购人临时使用或采取应急措施解决，不得影响采购人的正常工作业务。</w:t>
      </w:r>
    </w:p>
    <w:p>
      <w:pPr>
        <w:keepNext w:val="0"/>
        <w:keepLines w:val="0"/>
        <w:pageBreakBefore w:val="0"/>
        <w:kinsoku/>
        <w:wordWrap/>
        <w:overflowPunct/>
        <w:topLinePunct w:val="0"/>
        <w:bidi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（七）合同约定的工程项目，供应商不得分包或转包。</w:t>
      </w:r>
      <w:r>
        <w:rPr>
          <w:rFonts w:hint="eastAsia" w:ascii="宋体" w:hAnsi="宋体" w:eastAsia="宋体" w:cs="宋体"/>
          <w:sz w:val="24"/>
          <w:szCs w:val="24"/>
          <w:lang w:val="en-US" w:eastAsia="zh-CN"/>
        </w:rPr>
        <w:t>否则，采购人有权单方面终止合同，并令其立即退场且不支付任何费用，工程项目施工由采购人另行处理，由此而造成的经济损失由成交供应商负责赔偿。</w:t>
      </w:r>
    </w:p>
    <w:p>
      <w:pPr>
        <w:keepNext w:val="0"/>
        <w:keepLines w:val="0"/>
        <w:pageBreakBefore w:val="0"/>
        <w:widowControl w:val="0"/>
        <w:kinsoku/>
        <w:wordWrap/>
        <w:overflowPunct/>
        <w:topLinePunct w:val="0"/>
        <w:autoSpaceDE/>
        <w:autoSpaceDN/>
        <w:bidi w:val="0"/>
        <w:adjustRightInd w:val="0"/>
        <w:snapToGrid w:val="0"/>
        <w:spacing w:line="360" w:lineRule="auto"/>
        <w:ind w:left="0"/>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（八）验收要求：</w:t>
      </w:r>
    </w:p>
    <w:p>
      <w:pPr>
        <w:keepNext w:val="0"/>
        <w:keepLines w:val="0"/>
        <w:pageBreakBefore w:val="0"/>
        <w:numPr>
          <w:ilvl w:val="0"/>
          <w:numId w:val="0"/>
        </w:numPr>
        <w:kinsoku/>
        <w:wordWrap/>
        <w:overflowPunct/>
        <w:topLinePunct w:val="0"/>
        <w:bidi w:val="0"/>
        <w:spacing w:line="360" w:lineRule="auto"/>
        <w:ind w:left="0" w:leftChars="0"/>
        <w:textAlignment w:val="auto"/>
        <w:rPr>
          <w:rFonts w:hint="eastAsia" w:ascii="宋体" w:hAnsi="宋体" w:eastAsia="宋体" w:cs="宋体"/>
          <w:b/>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成交供应商须为验收提供必需的一切条件及相关费用，办理所有产品材料（包括保修卡）的一切保修备案手续，并提供相应的检测报告、认证证书、质保书、合格证等证明材料。工程施工完毕后的</w:t>
      </w:r>
      <w:r>
        <w:rPr>
          <w:rFonts w:hint="eastAsia" w:ascii="宋体" w:hAnsi="宋体" w:cs="宋体"/>
          <w:bCs/>
          <w:sz w:val="24"/>
          <w:szCs w:val="24"/>
          <w:lang w:val="en-US" w:eastAsia="zh-CN"/>
        </w:rPr>
        <w:t xml:space="preserve"> 5</w:t>
      </w:r>
      <w:r>
        <w:rPr>
          <w:rFonts w:hint="eastAsia" w:ascii="宋体" w:hAnsi="宋体" w:eastAsia="宋体" w:cs="宋体"/>
          <w:bCs/>
          <w:sz w:val="24"/>
          <w:szCs w:val="24"/>
        </w:rPr>
        <w:t xml:space="preserve"> 个工作日内由成交供应商、采购人、监理单位</w:t>
      </w:r>
      <w:r>
        <w:rPr>
          <w:rFonts w:hint="eastAsia" w:ascii="宋体" w:hAnsi="宋体" w:eastAsia="宋体" w:cs="宋体"/>
          <w:bCs/>
          <w:sz w:val="24"/>
          <w:szCs w:val="24"/>
          <w:lang w:eastAsia="zh-CN"/>
        </w:rPr>
        <w:t>（如有）</w:t>
      </w:r>
      <w:r>
        <w:rPr>
          <w:rFonts w:hint="eastAsia" w:ascii="宋体" w:hAnsi="宋体" w:eastAsia="宋体" w:cs="宋体"/>
          <w:bCs/>
          <w:sz w:val="24"/>
          <w:szCs w:val="24"/>
        </w:rPr>
        <w:t>按照</w:t>
      </w:r>
      <w:r>
        <w:rPr>
          <w:rFonts w:hint="eastAsia" w:ascii="宋体" w:hAnsi="宋体" w:cs="宋体"/>
          <w:bCs/>
          <w:sz w:val="24"/>
          <w:szCs w:val="24"/>
          <w:lang w:eastAsia="zh-CN"/>
        </w:rPr>
        <w:t>相关</w:t>
      </w:r>
      <w:r>
        <w:rPr>
          <w:rFonts w:hint="eastAsia" w:ascii="宋体" w:hAnsi="宋体" w:eastAsia="宋体" w:cs="宋体"/>
          <w:bCs/>
          <w:sz w:val="24"/>
          <w:szCs w:val="24"/>
        </w:rPr>
        <w:t>部门的有关规定，共同验收并出具验收报告。验收交付前的设备及施工材料在现场的安全保管责任由成交供应商承担。</w:t>
      </w:r>
      <w:r>
        <w:rPr>
          <w:rFonts w:hint="eastAsia" w:ascii="宋体" w:hAnsi="宋体" w:eastAsia="宋体" w:cs="宋体"/>
          <w:b/>
          <w:bCs/>
          <w:sz w:val="24"/>
          <w:szCs w:val="24"/>
        </w:rPr>
        <w:t xml:space="preserve"> </w:t>
      </w:r>
    </w:p>
    <w:p>
      <w:pPr>
        <w:keepNext w:val="0"/>
        <w:keepLines w:val="0"/>
        <w:pageBreakBefore w:val="0"/>
        <w:numPr>
          <w:ilvl w:val="0"/>
          <w:numId w:val="0"/>
        </w:numPr>
        <w:kinsoku/>
        <w:wordWrap/>
        <w:overflowPunct/>
        <w:topLinePunct w:val="0"/>
        <w:bidi w:val="0"/>
        <w:spacing w:line="360" w:lineRule="auto"/>
        <w:ind w:left="0" w:leftChars="0"/>
        <w:textAlignment w:val="auto"/>
        <w:rPr>
          <w:rFonts w:hint="eastAsia" w:ascii="宋体" w:hAnsi="宋体" w:eastAsia="宋体" w:cs="宋体"/>
          <w:b/>
          <w:bCs w:val="0"/>
          <w:sz w:val="24"/>
          <w:szCs w:val="24"/>
          <w:lang w:val="en-US" w:eastAsia="zh-CN"/>
        </w:rPr>
      </w:pPr>
      <w:r>
        <w:rPr>
          <w:rFonts w:hint="eastAsia" w:ascii="宋体" w:hAnsi="宋体" w:eastAsia="宋体" w:cs="宋体"/>
          <w:b/>
          <w:bCs/>
          <w:sz w:val="24"/>
          <w:szCs w:val="24"/>
          <w:lang w:val="en-US" w:eastAsia="zh-CN"/>
        </w:rPr>
        <w:t>2、</w:t>
      </w:r>
      <w:r>
        <w:rPr>
          <w:rFonts w:hint="eastAsia" w:ascii="宋体" w:hAnsi="宋体" w:eastAsia="宋体" w:cs="宋体"/>
          <w:b w:val="0"/>
          <w:bCs/>
          <w:sz w:val="24"/>
          <w:szCs w:val="24"/>
          <w:lang w:val="en-US" w:eastAsia="zh-CN"/>
        </w:rPr>
        <w:t>项目验收依次序对照执行标准：</w:t>
      </w:r>
    </w:p>
    <w:p>
      <w:pPr>
        <w:keepNext w:val="0"/>
        <w:keepLines w:val="0"/>
        <w:pageBreakBefore w:val="0"/>
        <w:numPr>
          <w:ilvl w:val="3"/>
          <w:numId w:val="4"/>
        </w:numPr>
        <w:kinsoku/>
        <w:wordWrap/>
        <w:overflowPunct/>
        <w:topLinePunct w:val="0"/>
        <w:bidi w:val="0"/>
        <w:spacing w:line="360" w:lineRule="auto"/>
        <w:ind w:left="0" w:firstLine="0"/>
        <w:textAlignment w:val="auto"/>
        <w:rPr>
          <w:rFonts w:hint="eastAsia" w:ascii="宋体" w:hAnsi="宋体" w:eastAsia="宋体" w:cs="宋体"/>
          <w:sz w:val="24"/>
          <w:szCs w:val="24"/>
        </w:rPr>
      </w:pPr>
      <w:r>
        <w:rPr>
          <w:rFonts w:hint="eastAsia" w:ascii="宋体" w:hAnsi="宋体" w:eastAsia="宋体" w:cs="宋体"/>
          <w:sz w:val="24"/>
          <w:szCs w:val="24"/>
        </w:rPr>
        <w:t xml:space="preserve">符合最新双方确认的施工方案及设计图纸； </w:t>
      </w:r>
    </w:p>
    <w:p>
      <w:pPr>
        <w:keepNext w:val="0"/>
        <w:keepLines w:val="0"/>
        <w:pageBreakBefore w:val="0"/>
        <w:numPr>
          <w:ilvl w:val="3"/>
          <w:numId w:val="4"/>
        </w:numPr>
        <w:kinsoku/>
        <w:wordWrap/>
        <w:overflowPunct/>
        <w:topLinePunct w:val="0"/>
        <w:bidi w:val="0"/>
        <w:spacing w:line="360" w:lineRule="auto"/>
        <w:ind w:left="0" w:firstLine="0"/>
        <w:textAlignment w:val="auto"/>
        <w:rPr>
          <w:rFonts w:hint="eastAsia" w:ascii="宋体" w:hAnsi="宋体" w:eastAsia="宋体" w:cs="宋体"/>
          <w:sz w:val="24"/>
          <w:szCs w:val="24"/>
        </w:rPr>
      </w:pPr>
      <w:r>
        <w:rPr>
          <w:rFonts w:hint="eastAsia" w:ascii="宋体" w:hAnsi="宋体" w:eastAsia="宋体" w:cs="宋体"/>
          <w:sz w:val="24"/>
          <w:szCs w:val="24"/>
        </w:rPr>
        <w:t xml:space="preserve">符合上级主管部门有关工程竣工的文件和规定； </w:t>
      </w:r>
    </w:p>
    <w:p>
      <w:pPr>
        <w:keepNext w:val="0"/>
        <w:keepLines w:val="0"/>
        <w:pageBreakBefore w:val="0"/>
        <w:numPr>
          <w:ilvl w:val="3"/>
          <w:numId w:val="4"/>
        </w:numPr>
        <w:kinsoku/>
        <w:wordWrap/>
        <w:overflowPunct/>
        <w:topLinePunct w:val="0"/>
        <w:bidi w:val="0"/>
        <w:spacing w:line="360" w:lineRule="auto"/>
        <w:ind w:left="0" w:firstLine="0"/>
        <w:textAlignment w:val="auto"/>
        <w:rPr>
          <w:rFonts w:hint="eastAsia" w:ascii="宋体" w:hAnsi="宋体" w:eastAsia="宋体" w:cs="宋体"/>
          <w:sz w:val="24"/>
          <w:szCs w:val="24"/>
        </w:rPr>
      </w:pPr>
      <w:r>
        <w:rPr>
          <w:rFonts w:hint="eastAsia" w:ascii="宋体" w:hAnsi="宋体" w:eastAsia="宋体" w:cs="宋体"/>
          <w:sz w:val="24"/>
          <w:szCs w:val="24"/>
        </w:rPr>
        <w:t xml:space="preserve">符合《建筑工程消防验收规范》合格或以上标准； </w:t>
      </w:r>
    </w:p>
    <w:p>
      <w:pPr>
        <w:keepNext w:val="0"/>
        <w:keepLines w:val="0"/>
        <w:pageBreakBefore w:val="0"/>
        <w:numPr>
          <w:ilvl w:val="3"/>
          <w:numId w:val="4"/>
        </w:numPr>
        <w:kinsoku/>
        <w:wordWrap/>
        <w:overflowPunct/>
        <w:topLinePunct w:val="0"/>
        <w:bidi w:val="0"/>
        <w:spacing w:line="360" w:lineRule="auto"/>
        <w:ind w:left="0" w:firstLine="0"/>
        <w:textAlignment w:val="auto"/>
        <w:rPr>
          <w:rFonts w:hint="eastAsia" w:ascii="宋体" w:hAnsi="宋体" w:eastAsia="宋体" w:cs="宋体"/>
          <w:sz w:val="24"/>
          <w:szCs w:val="24"/>
        </w:rPr>
      </w:pPr>
      <w:r>
        <w:rPr>
          <w:rFonts w:hint="eastAsia" w:ascii="宋体" w:hAnsi="宋体" w:eastAsia="宋体" w:cs="宋体"/>
          <w:sz w:val="24"/>
          <w:szCs w:val="24"/>
        </w:rPr>
        <w:t xml:space="preserve">符合《工程施工质量验收规范》合格或以上标准； </w:t>
      </w:r>
    </w:p>
    <w:p>
      <w:pPr>
        <w:keepNext w:val="0"/>
        <w:keepLines w:val="0"/>
        <w:pageBreakBefore w:val="0"/>
        <w:numPr>
          <w:ilvl w:val="3"/>
          <w:numId w:val="4"/>
        </w:numPr>
        <w:kinsoku/>
        <w:wordWrap/>
        <w:overflowPunct/>
        <w:topLinePunct w:val="0"/>
        <w:bidi w:val="0"/>
        <w:spacing w:line="360" w:lineRule="auto"/>
        <w:ind w:left="0" w:firstLine="0"/>
        <w:textAlignment w:val="auto"/>
        <w:rPr>
          <w:rFonts w:hint="eastAsia" w:ascii="宋体" w:hAnsi="宋体" w:eastAsia="宋体" w:cs="宋体"/>
          <w:sz w:val="24"/>
          <w:szCs w:val="24"/>
        </w:rPr>
      </w:pPr>
      <w:r>
        <w:rPr>
          <w:rFonts w:hint="eastAsia" w:ascii="宋体" w:hAnsi="宋体" w:eastAsia="宋体" w:cs="宋体"/>
          <w:sz w:val="24"/>
          <w:szCs w:val="24"/>
        </w:rPr>
        <w:t>符合中华人民共和国国家规定的竣工标准（或地方政府主管机关的具体标准）和现行的施工验收规范；</w:t>
      </w:r>
    </w:p>
    <w:p>
      <w:pPr>
        <w:keepNext w:val="0"/>
        <w:keepLines w:val="0"/>
        <w:pageBreakBefore w:val="0"/>
        <w:numPr>
          <w:ilvl w:val="3"/>
          <w:numId w:val="4"/>
        </w:numPr>
        <w:kinsoku/>
        <w:wordWrap/>
        <w:overflowPunct/>
        <w:topLinePunct w:val="0"/>
        <w:bidi w:val="0"/>
        <w:spacing w:line="360" w:lineRule="auto"/>
        <w:ind w:left="0" w:firstLine="0"/>
        <w:textAlignment w:val="auto"/>
        <w:rPr>
          <w:rFonts w:hint="eastAsia" w:ascii="宋体" w:hAnsi="宋体" w:eastAsia="宋体" w:cs="宋体"/>
          <w:sz w:val="24"/>
          <w:szCs w:val="24"/>
        </w:rPr>
      </w:pPr>
      <w:r>
        <w:rPr>
          <w:rFonts w:hint="eastAsia" w:ascii="宋体" w:hAnsi="宋体" w:eastAsia="宋体" w:cs="宋体"/>
          <w:sz w:val="24"/>
          <w:szCs w:val="24"/>
        </w:rPr>
        <w:t xml:space="preserve">符合采购文件和响应承诺中各方共同认可的合理最佳配置、参数规格及各项要求； </w:t>
      </w:r>
    </w:p>
    <w:p>
      <w:pPr>
        <w:keepNext w:val="0"/>
        <w:keepLines w:val="0"/>
        <w:pageBreakBefore w:val="0"/>
        <w:numPr>
          <w:ilvl w:val="3"/>
          <w:numId w:val="4"/>
        </w:numPr>
        <w:kinsoku/>
        <w:wordWrap/>
        <w:overflowPunct/>
        <w:topLinePunct w:val="0"/>
        <w:bidi w:val="0"/>
        <w:spacing w:line="360" w:lineRule="auto"/>
        <w:ind w:left="0" w:firstLine="0"/>
        <w:textAlignment w:val="auto"/>
        <w:rPr>
          <w:rFonts w:hint="eastAsia" w:ascii="宋体" w:hAnsi="宋体" w:eastAsia="宋体" w:cs="宋体"/>
          <w:sz w:val="24"/>
          <w:szCs w:val="24"/>
        </w:rPr>
      </w:pPr>
      <w:r>
        <w:rPr>
          <w:rFonts w:hint="eastAsia" w:ascii="宋体" w:hAnsi="宋体" w:eastAsia="宋体" w:cs="宋体"/>
          <w:sz w:val="24"/>
          <w:szCs w:val="24"/>
        </w:rPr>
        <w:t>符合中华人民共和国国家和履约地相关安全质量标准、行业技术规范标准、环保节能标准，主要包括但不限于以下规范标准：</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2268"/>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32" w:type="dxa"/>
            <w:shd w:val="clear" w:color="auto" w:fill="F0F0F0"/>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2268" w:type="dxa"/>
            <w:shd w:val="clear" w:color="auto" w:fill="F0F0F0"/>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标准编码</w:t>
            </w:r>
          </w:p>
        </w:tc>
        <w:tc>
          <w:tcPr>
            <w:tcW w:w="5386" w:type="dxa"/>
            <w:shd w:val="clear" w:color="auto" w:fill="F0F0F0"/>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2" w:type="dxa"/>
            <w:noWrap w:val="0"/>
            <w:tcMar>
              <w:top w:w="20" w:type="dxa"/>
              <w:left w:w="20" w:type="dxa"/>
              <w:bottom w:w="20" w:type="dxa"/>
              <w:right w:w="20" w:type="dxa"/>
            </w:tcMar>
            <w:vAlign w:val="center"/>
          </w:tcPr>
          <w:p>
            <w:pPr>
              <w:keepNext w:val="0"/>
              <w:keepLines w:val="0"/>
              <w:pageBreakBefore w:val="0"/>
              <w:widowControl/>
              <w:numPr>
                <w:ilvl w:val="0"/>
                <w:numId w:val="5"/>
              </w:numPr>
              <w:kinsoku/>
              <w:wordWrap/>
              <w:overflowPunct/>
              <w:topLinePunct w:val="0"/>
              <w:autoSpaceDE w:val="0"/>
              <w:autoSpaceDN w:val="0"/>
              <w:bidi w:val="0"/>
              <w:adjustRightInd w:val="0"/>
              <w:snapToGrid/>
              <w:spacing w:line="360" w:lineRule="auto"/>
              <w:ind w:left="0" w:firstLine="0"/>
              <w:jc w:val="center"/>
              <w:textAlignment w:val="auto"/>
              <w:rPr>
                <w:rFonts w:hint="eastAsia" w:ascii="宋体" w:hAnsi="宋体" w:eastAsia="宋体" w:cs="宋体"/>
                <w:kern w:val="0"/>
                <w:sz w:val="24"/>
                <w:szCs w:val="24"/>
              </w:rPr>
            </w:pPr>
          </w:p>
        </w:tc>
        <w:tc>
          <w:tcPr>
            <w:tcW w:w="2268"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GB50325-2010</w:t>
            </w:r>
          </w:p>
        </w:tc>
        <w:tc>
          <w:tcPr>
            <w:tcW w:w="5386"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民用建筑工程室内环境污染控制规范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2" w:type="dxa"/>
            <w:noWrap w:val="0"/>
            <w:tcMar>
              <w:top w:w="20" w:type="dxa"/>
              <w:left w:w="20" w:type="dxa"/>
              <w:bottom w:w="20" w:type="dxa"/>
              <w:right w:w="20" w:type="dxa"/>
            </w:tcMar>
            <w:vAlign w:val="center"/>
          </w:tcPr>
          <w:p>
            <w:pPr>
              <w:keepNext w:val="0"/>
              <w:keepLines w:val="0"/>
              <w:pageBreakBefore w:val="0"/>
              <w:widowControl/>
              <w:numPr>
                <w:ilvl w:val="0"/>
                <w:numId w:val="5"/>
              </w:numPr>
              <w:kinsoku/>
              <w:wordWrap/>
              <w:overflowPunct/>
              <w:topLinePunct w:val="0"/>
              <w:autoSpaceDE w:val="0"/>
              <w:autoSpaceDN w:val="0"/>
              <w:bidi w:val="0"/>
              <w:adjustRightInd w:val="0"/>
              <w:snapToGrid/>
              <w:spacing w:line="360" w:lineRule="auto"/>
              <w:ind w:left="0" w:firstLine="0"/>
              <w:jc w:val="center"/>
              <w:textAlignment w:val="auto"/>
              <w:rPr>
                <w:rFonts w:hint="eastAsia" w:ascii="宋体" w:hAnsi="宋体" w:eastAsia="宋体" w:cs="宋体"/>
                <w:kern w:val="0"/>
                <w:sz w:val="24"/>
                <w:szCs w:val="24"/>
              </w:rPr>
            </w:pPr>
          </w:p>
        </w:tc>
        <w:tc>
          <w:tcPr>
            <w:tcW w:w="2268"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GB 50411-2007</w:t>
            </w:r>
          </w:p>
        </w:tc>
        <w:tc>
          <w:tcPr>
            <w:tcW w:w="5386"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建筑节能工程施工质量验收规范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2" w:type="dxa"/>
            <w:noWrap w:val="0"/>
            <w:tcMar>
              <w:top w:w="20" w:type="dxa"/>
              <w:left w:w="20" w:type="dxa"/>
              <w:bottom w:w="20" w:type="dxa"/>
              <w:right w:w="20" w:type="dxa"/>
            </w:tcMar>
            <w:vAlign w:val="center"/>
          </w:tcPr>
          <w:p>
            <w:pPr>
              <w:keepNext w:val="0"/>
              <w:keepLines w:val="0"/>
              <w:pageBreakBefore w:val="0"/>
              <w:widowControl/>
              <w:numPr>
                <w:ilvl w:val="0"/>
                <w:numId w:val="5"/>
              </w:numPr>
              <w:kinsoku/>
              <w:wordWrap/>
              <w:overflowPunct/>
              <w:topLinePunct w:val="0"/>
              <w:autoSpaceDE w:val="0"/>
              <w:autoSpaceDN w:val="0"/>
              <w:bidi w:val="0"/>
              <w:adjustRightInd w:val="0"/>
              <w:snapToGrid/>
              <w:spacing w:line="360" w:lineRule="auto"/>
              <w:ind w:left="0" w:firstLine="0"/>
              <w:jc w:val="center"/>
              <w:textAlignment w:val="auto"/>
              <w:rPr>
                <w:rFonts w:hint="eastAsia" w:ascii="宋体" w:hAnsi="宋体" w:eastAsia="宋体" w:cs="宋体"/>
                <w:kern w:val="0"/>
                <w:sz w:val="24"/>
                <w:szCs w:val="24"/>
              </w:rPr>
            </w:pPr>
          </w:p>
        </w:tc>
        <w:tc>
          <w:tcPr>
            <w:tcW w:w="2268"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GB 50300-2001</w:t>
            </w:r>
          </w:p>
        </w:tc>
        <w:tc>
          <w:tcPr>
            <w:tcW w:w="5386"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建筑工程施工质量验收统一标准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2" w:type="dxa"/>
            <w:noWrap w:val="0"/>
            <w:tcMar>
              <w:top w:w="20" w:type="dxa"/>
              <w:left w:w="20" w:type="dxa"/>
              <w:bottom w:w="20" w:type="dxa"/>
              <w:right w:w="20" w:type="dxa"/>
            </w:tcMar>
            <w:vAlign w:val="center"/>
          </w:tcPr>
          <w:p>
            <w:pPr>
              <w:keepNext w:val="0"/>
              <w:keepLines w:val="0"/>
              <w:pageBreakBefore w:val="0"/>
              <w:widowControl/>
              <w:numPr>
                <w:ilvl w:val="0"/>
                <w:numId w:val="5"/>
              </w:numPr>
              <w:kinsoku/>
              <w:wordWrap/>
              <w:overflowPunct/>
              <w:topLinePunct w:val="0"/>
              <w:autoSpaceDE w:val="0"/>
              <w:autoSpaceDN w:val="0"/>
              <w:bidi w:val="0"/>
              <w:adjustRightInd w:val="0"/>
              <w:snapToGrid/>
              <w:spacing w:line="360" w:lineRule="auto"/>
              <w:ind w:left="0" w:firstLine="0"/>
              <w:jc w:val="center"/>
              <w:textAlignment w:val="auto"/>
              <w:rPr>
                <w:rFonts w:hint="eastAsia" w:ascii="宋体" w:hAnsi="宋体" w:eastAsia="宋体" w:cs="宋体"/>
                <w:kern w:val="0"/>
                <w:sz w:val="24"/>
                <w:szCs w:val="24"/>
              </w:rPr>
            </w:pPr>
          </w:p>
        </w:tc>
        <w:tc>
          <w:tcPr>
            <w:tcW w:w="2268"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GB50210-2001</w:t>
            </w:r>
          </w:p>
        </w:tc>
        <w:tc>
          <w:tcPr>
            <w:tcW w:w="5386"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建筑装饰装修工程质量验收规范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2" w:type="dxa"/>
            <w:noWrap w:val="0"/>
            <w:tcMar>
              <w:top w:w="20" w:type="dxa"/>
              <w:left w:w="20" w:type="dxa"/>
              <w:bottom w:w="20" w:type="dxa"/>
              <w:right w:w="20" w:type="dxa"/>
            </w:tcMar>
            <w:vAlign w:val="center"/>
          </w:tcPr>
          <w:p>
            <w:pPr>
              <w:keepNext w:val="0"/>
              <w:keepLines w:val="0"/>
              <w:pageBreakBefore w:val="0"/>
              <w:widowControl/>
              <w:numPr>
                <w:ilvl w:val="0"/>
                <w:numId w:val="5"/>
              </w:numPr>
              <w:kinsoku/>
              <w:wordWrap/>
              <w:overflowPunct/>
              <w:topLinePunct w:val="0"/>
              <w:autoSpaceDE w:val="0"/>
              <w:autoSpaceDN w:val="0"/>
              <w:bidi w:val="0"/>
              <w:adjustRightInd w:val="0"/>
              <w:snapToGrid/>
              <w:spacing w:line="360" w:lineRule="auto"/>
              <w:ind w:left="0" w:firstLine="0"/>
              <w:jc w:val="center"/>
              <w:textAlignment w:val="auto"/>
              <w:rPr>
                <w:rFonts w:hint="eastAsia" w:ascii="宋体" w:hAnsi="宋体" w:eastAsia="宋体" w:cs="宋体"/>
                <w:kern w:val="0"/>
                <w:sz w:val="24"/>
                <w:szCs w:val="24"/>
              </w:rPr>
            </w:pPr>
          </w:p>
        </w:tc>
        <w:tc>
          <w:tcPr>
            <w:tcW w:w="2268"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GB50354-2005</w:t>
            </w:r>
          </w:p>
        </w:tc>
        <w:tc>
          <w:tcPr>
            <w:tcW w:w="5386"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建筑内部装修防火施工及验收规范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2" w:type="dxa"/>
            <w:noWrap w:val="0"/>
            <w:tcMar>
              <w:top w:w="20" w:type="dxa"/>
              <w:left w:w="20" w:type="dxa"/>
              <w:bottom w:w="20" w:type="dxa"/>
              <w:right w:w="20" w:type="dxa"/>
            </w:tcMar>
            <w:vAlign w:val="center"/>
          </w:tcPr>
          <w:p>
            <w:pPr>
              <w:keepNext w:val="0"/>
              <w:keepLines w:val="0"/>
              <w:pageBreakBefore w:val="0"/>
              <w:widowControl/>
              <w:numPr>
                <w:ilvl w:val="0"/>
                <w:numId w:val="5"/>
              </w:numPr>
              <w:kinsoku/>
              <w:wordWrap/>
              <w:overflowPunct/>
              <w:topLinePunct w:val="0"/>
              <w:autoSpaceDE w:val="0"/>
              <w:autoSpaceDN w:val="0"/>
              <w:bidi w:val="0"/>
              <w:adjustRightInd w:val="0"/>
              <w:snapToGrid/>
              <w:spacing w:line="360" w:lineRule="auto"/>
              <w:ind w:left="0" w:firstLine="0"/>
              <w:jc w:val="center"/>
              <w:textAlignment w:val="auto"/>
              <w:rPr>
                <w:rFonts w:hint="eastAsia" w:ascii="宋体" w:hAnsi="宋体" w:eastAsia="宋体" w:cs="宋体"/>
                <w:kern w:val="0"/>
                <w:sz w:val="24"/>
                <w:szCs w:val="24"/>
              </w:rPr>
            </w:pPr>
          </w:p>
        </w:tc>
        <w:tc>
          <w:tcPr>
            <w:tcW w:w="2268"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GB50016-2006</w:t>
            </w:r>
          </w:p>
        </w:tc>
        <w:tc>
          <w:tcPr>
            <w:tcW w:w="5386"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建筑设计防火规范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2" w:type="dxa"/>
            <w:noWrap w:val="0"/>
            <w:tcMar>
              <w:top w:w="20" w:type="dxa"/>
              <w:left w:w="20" w:type="dxa"/>
              <w:bottom w:w="20" w:type="dxa"/>
              <w:right w:w="20" w:type="dxa"/>
            </w:tcMar>
            <w:vAlign w:val="center"/>
          </w:tcPr>
          <w:p>
            <w:pPr>
              <w:keepNext w:val="0"/>
              <w:keepLines w:val="0"/>
              <w:pageBreakBefore w:val="0"/>
              <w:widowControl/>
              <w:numPr>
                <w:ilvl w:val="0"/>
                <w:numId w:val="5"/>
              </w:numPr>
              <w:kinsoku/>
              <w:wordWrap/>
              <w:overflowPunct/>
              <w:topLinePunct w:val="0"/>
              <w:autoSpaceDE w:val="0"/>
              <w:autoSpaceDN w:val="0"/>
              <w:bidi w:val="0"/>
              <w:adjustRightInd w:val="0"/>
              <w:snapToGrid/>
              <w:spacing w:line="360" w:lineRule="auto"/>
              <w:ind w:left="0" w:firstLine="0"/>
              <w:jc w:val="center"/>
              <w:textAlignment w:val="auto"/>
              <w:rPr>
                <w:rFonts w:hint="eastAsia" w:ascii="宋体" w:hAnsi="宋体" w:eastAsia="宋体" w:cs="宋体"/>
                <w:kern w:val="0"/>
                <w:sz w:val="24"/>
                <w:szCs w:val="24"/>
              </w:rPr>
            </w:pPr>
          </w:p>
        </w:tc>
        <w:tc>
          <w:tcPr>
            <w:tcW w:w="2268"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GB50222-95</w:t>
            </w:r>
          </w:p>
        </w:tc>
        <w:tc>
          <w:tcPr>
            <w:tcW w:w="5386"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建筑内部装修设计防火规范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2" w:type="dxa"/>
            <w:noWrap w:val="0"/>
            <w:tcMar>
              <w:top w:w="20" w:type="dxa"/>
              <w:left w:w="20" w:type="dxa"/>
              <w:bottom w:w="20" w:type="dxa"/>
              <w:right w:w="20" w:type="dxa"/>
            </w:tcMar>
            <w:vAlign w:val="center"/>
          </w:tcPr>
          <w:p>
            <w:pPr>
              <w:keepNext w:val="0"/>
              <w:keepLines w:val="0"/>
              <w:pageBreakBefore w:val="0"/>
              <w:widowControl/>
              <w:numPr>
                <w:ilvl w:val="0"/>
                <w:numId w:val="5"/>
              </w:numPr>
              <w:kinsoku/>
              <w:wordWrap/>
              <w:overflowPunct/>
              <w:topLinePunct w:val="0"/>
              <w:autoSpaceDE w:val="0"/>
              <w:autoSpaceDN w:val="0"/>
              <w:bidi w:val="0"/>
              <w:adjustRightInd w:val="0"/>
              <w:snapToGrid/>
              <w:spacing w:line="360" w:lineRule="auto"/>
              <w:ind w:left="0" w:firstLine="0"/>
              <w:jc w:val="center"/>
              <w:textAlignment w:val="auto"/>
              <w:rPr>
                <w:rFonts w:hint="eastAsia" w:ascii="宋体" w:hAnsi="宋体" w:eastAsia="宋体" w:cs="宋体"/>
                <w:kern w:val="0"/>
                <w:sz w:val="24"/>
                <w:szCs w:val="24"/>
              </w:rPr>
            </w:pPr>
          </w:p>
        </w:tc>
        <w:tc>
          <w:tcPr>
            <w:tcW w:w="2268"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GB50045-95-2005</w:t>
            </w:r>
          </w:p>
        </w:tc>
        <w:tc>
          <w:tcPr>
            <w:tcW w:w="5386"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高层民用建筑设计防火规范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2" w:type="dxa"/>
            <w:noWrap w:val="0"/>
            <w:tcMar>
              <w:top w:w="20" w:type="dxa"/>
              <w:left w:w="20" w:type="dxa"/>
              <w:bottom w:w="20" w:type="dxa"/>
              <w:right w:w="20" w:type="dxa"/>
            </w:tcMar>
            <w:vAlign w:val="center"/>
          </w:tcPr>
          <w:p>
            <w:pPr>
              <w:keepNext w:val="0"/>
              <w:keepLines w:val="0"/>
              <w:pageBreakBefore w:val="0"/>
              <w:widowControl/>
              <w:numPr>
                <w:ilvl w:val="0"/>
                <w:numId w:val="5"/>
              </w:numPr>
              <w:kinsoku/>
              <w:wordWrap/>
              <w:overflowPunct/>
              <w:topLinePunct w:val="0"/>
              <w:autoSpaceDE w:val="0"/>
              <w:autoSpaceDN w:val="0"/>
              <w:bidi w:val="0"/>
              <w:adjustRightInd w:val="0"/>
              <w:snapToGrid/>
              <w:spacing w:line="360" w:lineRule="auto"/>
              <w:ind w:left="0" w:firstLine="0"/>
              <w:jc w:val="center"/>
              <w:textAlignment w:val="auto"/>
              <w:rPr>
                <w:rFonts w:hint="eastAsia" w:ascii="宋体" w:hAnsi="宋体" w:eastAsia="宋体" w:cs="宋体"/>
                <w:kern w:val="0"/>
                <w:sz w:val="24"/>
                <w:szCs w:val="24"/>
              </w:rPr>
            </w:pPr>
          </w:p>
        </w:tc>
        <w:tc>
          <w:tcPr>
            <w:tcW w:w="2268"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GB8624：2006</w:t>
            </w:r>
          </w:p>
        </w:tc>
        <w:tc>
          <w:tcPr>
            <w:tcW w:w="5386"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建筑材料燃烧性能分级方法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2" w:type="dxa"/>
            <w:noWrap w:val="0"/>
            <w:tcMar>
              <w:top w:w="20" w:type="dxa"/>
              <w:left w:w="20" w:type="dxa"/>
              <w:bottom w:w="20" w:type="dxa"/>
              <w:right w:w="20" w:type="dxa"/>
            </w:tcMar>
            <w:vAlign w:val="center"/>
          </w:tcPr>
          <w:p>
            <w:pPr>
              <w:keepNext w:val="0"/>
              <w:keepLines w:val="0"/>
              <w:pageBreakBefore w:val="0"/>
              <w:widowControl/>
              <w:numPr>
                <w:ilvl w:val="0"/>
                <w:numId w:val="5"/>
              </w:numPr>
              <w:kinsoku/>
              <w:wordWrap/>
              <w:overflowPunct/>
              <w:topLinePunct w:val="0"/>
              <w:autoSpaceDE w:val="0"/>
              <w:autoSpaceDN w:val="0"/>
              <w:bidi w:val="0"/>
              <w:adjustRightInd w:val="0"/>
              <w:snapToGrid/>
              <w:spacing w:line="360" w:lineRule="auto"/>
              <w:ind w:left="0" w:firstLine="0"/>
              <w:jc w:val="center"/>
              <w:textAlignment w:val="auto"/>
              <w:rPr>
                <w:rFonts w:hint="eastAsia" w:ascii="宋体" w:hAnsi="宋体" w:eastAsia="宋体" w:cs="宋体"/>
                <w:kern w:val="0"/>
                <w:sz w:val="24"/>
                <w:szCs w:val="24"/>
              </w:rPr>
            </w:pPr>
          </w:p>
        </w:tc>
        <w:tc>
          <w:tcPr>
            <w:tcW w:w="2268"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GB18582-2008</w:t>
            </w:r>
          </w:p>
        </w:tc>
        <w:tc>
          <w:tcPr>
            <w:tcW w:w="5386"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室内装饰装修材料 内墙涂料中有害物质限量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2" w:type="dxa"/>
            <w:noWrap w:val="0"/>
            <w:tcMar>
              <w:top w:w="20" w:type="dxa"/>
              <w:left w:w="20" w:type="dxa"/>
              <w:bottom w:w="20" w:type="dxa"/>
              <w:right w:w="20" w:type="dxa"/>
            </w:tcMar>
            <w:vAlign w:val="center"/>
          </w:tcPr>
          <w:p>
            <w:pPr>
              <w:keepNext w:val="0"/>
              <w:keepLines w:val="0"/>
              <w:pageBreakBefore w:val="0"/>
              <w:widowControl/>
              <w:numPr>
                <w:ilvl w:val="0"/>
                <w:numId w:val="5"/>
              </w:numPr>
              <w:kinsoku/>
              <w:wordWrap/>
              <w:overflowPunct/>
              <w:topLinePunct w:val="0"/>
              <w:autoSpaceDE w:val="0"/>
              <w:autoSpaceDN w:val="0"/>
              <w:bidi w:val="0"/>
              <w:adjustRightInd w:val="0"/>
              <w:snapToGrid/>
              <w:spacing w:line="360" w:lineRule="auto"/>
              <w:ind w:left="0" w:firstLine="0"/>
              <w:jc w:val="center"/>
              <w:textAlignment w:val="auto"/>
              <w:rPr>
                <w:rFonts w:hint="eastAsia" w:ascii="宋体" w:hAnsi="宋体" w:eastAsia="宋体" w:cs="宋体"/>
                <w:kern w:val="0"/>
                <w:sz w:val="24"/>
                <w:szCs w:val="24"/>
              </w:rPr>
            </w:pPr>
          </w:p>
        </w:tc>
        <w:tc>
          <w:tcPr>
            <w:tcW w:w="2268"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GB6566-2001</w:t>
            </w:r>
          </w:p>
        </w:tc>
        <w:tc>
          <w:tcPr>
            <w:tcW w:w="5386"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建筑材料放射性核素限量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2" w:type="dxa"/>
            <w:noWrap w:val="0"/>
            <w:tcMar>
              <w:top w:w="20" w:type="dxa"/>
              <w:left w:w="20" w:type="dxa"/>
              <w:bottom w:w="20" w:type="dxa"/>
              <w:right w:w="20" w:type="dxa"/>
            </w:tcMar>
            <w:vAlign w:val="center"/>
          </w:tcPr>
          <w:p>
            <w:pPr>
              <w:keepNext w:val="0"/>
              <w:keepLines w:val="0"/>
              <w:pageBreakBefore w:val="0"/>
              <w:widowControl/>
              <w:numPr>
                <w:ilvl w:val="0"/>
                <w:numId w:val="5"/>
              </w:numPr>
              <w:kinsoku/>
              <w:wordWrap/>
              <w:overflowPunct/>
              <w:topLinePunct w:val="0"/>
              <w:autoSpaceDE w:val="0"/>
              <w:autoSpaceDN w:val="0"/>
              <w:bidi w:val="0"/>
              <w:adjustRightInd w:val="0"/>
              <w:snapToGrid/>
              <w:spacing w:line="360" w:lineRule="auto"/>
              <w:ind w:left="0" w:firstLine="0"/>
              <w:jc w:val="center"/>
              <w:textAlignment w:val="auto"/>
              <w:rPr>
                <w:rFonts w:hint="eastAsia" w:ascii="宋体" w:hAnsi="宋体" w:eastAsia="宋体" w:cs="宋体"/>
                <w:kern w:val="0"/>
                <w:sz w:val="24"/>
                <w:szCs w:val="24"/>
              </w:rPr>
            </w:pPr>
          </w:p>
        </w:tc>
        <w:tc>
          <w:tcPr>
            <w:tcW w:w="2268"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HJ/T 201-2005</w:t>
            </w:r>
          </w:p>
        </w:tc>
        <w:tc>
          <w:tcPr>
            <w:tcW w:w="5386"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环境标志产品技术要求 水性涂料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2" w:type="dxa"/>
            <w:noWrap w:val="0"/>
            <w:tcMar>
              <w:top w:w="20" w:type="dxa"/>
              <w:left w:w="20" w:type="dxa"/>
              <w:bottom w:w="20" w:type="dxa"/>
              <w:right w:w="20" w:type="dxa"/>
            </w:tcMar>
            <w:vAlign w:val="center"/>
          </w:tcPr>
          <w:p>
            <w:pPr>
              <w:keepNext w:val="0"/>
              <w:keepLines w:val="0"/>
              <w:pageBreakBefore w:val="0"/>
              <w:widowControl/>
              <w:numPr>
                <w:ilvl w:val="0"/>
                <w:numId w:val="5"/>
              </w:numPr>
              <w:kinsoku/>
              <w:wordWrap/>
              <w:overflowPunct/>
              <w:topLinePunct w:val="0"/>
              <w:autoSpaceDE w:val="0"/>
              <w:autoSpaceDN w:val="0"/>
              <w:bidi w:val="0"/>
              <w:adjustRightInd w:val="0"/>
              <w:snapToGrid/>
              <w:spacing w:line="360" w:lineRule="auto"/>
              <w:ind w:left="0" w:firstLine="0"/>
              <w:jc w:val="center"/>
              <w:textAlignment w:val="auto"/>
              <w:rPr>
                <w:rFonts w:hint="eastAsia" w:ascii="宋体" w:hAnsi="宋体" w:eastAsia="宋体" w:cs="宋体"/>
                <w:kern w:val="0"/>
                <w:sz w:val="24"/>
                <w:szCs w:val="24"/>
              </w:rPr>
            </w:pPr>
          </w:p>
        </w:tc>
        <w:tc>
          <w:tcPr>
            <w:tcW w:w="2268"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5386" w:type="dxa"/>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强制性产品认证管理规定（3C认证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2" w:type="dxa"/>
            <w:noWrap w:val="0"/>
            <w:tcMar>
              <w:top w:w="20" w:type="dxa"/>
              <w:left w:w="20" w:type="dxa"/>
              <w:bottom w:w="20" w:type="dxa"/>
              <w:right w:w="20" w:type="dxa"/>
            </w:tcMar>
            <w:vAlign w:val="center"/>
          </w:tcPr>
          <w:p>
            <w:pPr>
              <w:keepNext w:val="0"/>
              <w:keepLines w:val="0"/>
              <w:pageBreakBefore w:val="0"/>
              <w:widowControl/>
              <w:numPr>
                <w:ilvl w:val="0"/>
                <w:numId w:val="5"/>
              </w:numPr>
              <w:kinsoku/>
              <w:wordWrap/>
              <w:overflowPunct/>
              <w:topLinePunct w:val="0"/>
              <w:autoSpaceDE w:val="0"/>
              <w:autoSpaceDN w:val="0"/>
              <w:bidi w:val="0"/>
              <w:adjustRightInd w:val="0"/>
              <w:snapToGrid/>
              <w:spacing w:line="360" w:lineRule="auto"/>
              <w:ind w:left="0" w:firstLine="0"/>
              <w:jc w:val="center"/>
              <w:textAlignment w:val="auto"/>
              <w:rPr>
                <w:rFonts w:hint="eastAsia" w:ascii="宋体" w:hAnsi="宋体" w:eastAsia="宋体" w:cs="宋体"/>
                <w:kern w:val="0"/>
                <w:sz w:val="24"/>
                <w:szCs w:val="24"/>
              </w:rPr>
            </w:pPr>
          </w:p>
        </w:tc>
        <w:tc>
          <w:tcPr>
            <w:tcW w:w="7654" w:type="dxa"/>
            <w:gridSpan w:val="2"/>
            <w:noWrap w:val="0"/>
            <w:tcMar>
              <w:top w:w="20" w:type="dxa"/>
              <w:left w:w="20" w:type="dxa"/>
              <w:bottom w:w="20" w:type="dxa"/>
              <w:right w:w="20"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left="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其他法定专业质检部门所检测的标准</w:t>
            </w:r>
          </w:p>
        </w:tc>
      </w:tr>
    </w:tbl>
    <w:p>
      <w:pPr>
        <w:keepNext w:val="0"/>
        <w:keepLines w:val="0"/>
        <w:pageBreakBefore w:val="0"/>
        <w:numPr>
          <w:ilvl w:val="3"/>
          <w:numId w:val="4"/>
        </w:numPr>
        <w:kinsoku/>
        <w:wordWrap/>
        <w:overflowPunct/>
        <w:topLinePunct w:val="0"/>
        <w:bidi w:val="0"/>
        <w:spacing w:line="360" w:lineRule="auto"/>
        <w:ind w:left="0" w:firstLine="0"/>
        <w:textAlignment w:val="auto"/>
        <w:rPr>
          <w:rFonts w:hint="eastAsia" w:ascii="宋体" w:hAnsi="宋体" w:eastAsia="宋体" w:cs="宋体"/>
          <w:sz w:val="24"/>
          <w:szCs w:val="24"/>
        </w:rPr>
      </w:pPr>
      <w:r>
        <w:rPr>
          <w:rFonts w:hint="eastAsia" w:ascii="宋体" w:hAnsi="宋体" w:eastAsia="宋体" w:cs="宋体"/>
          <w:sz w:val="24"/>
          <w:szCs w:val="24"/>
        </w:rPr>
        <w:t>符合货物来源国官方颁布标准；</w:t>
      </w:r>
    </w:p>
    <w:p>
      <w:pPr>
        <w:keepNext w:val="0"/>
        <w:keepLines w:val="0"/>
        <w:pageBreakBefore w:val="0"/>
        <w:kinsoku/>
        <w:wordWrap/>
        <w:overflowPunct/>
        <w:topLinePunct w:val="0"/>
        <w:bidi w:val="0"/>
        <w:spacing w:line="360" w:lineRule="auto"/>
        <w:ind w:left="0"/>
        <w:textAlignment w:val="auto"/>
        <w:rPr>
          <w:rFonts w:ascii="宋体" w:hAnsi="宋体"/>
        </w:rPr>
      </w:pPr>
      <w:r>
        <w:rPr>
          <w:rFonts w:hint="eastAsia" w:ascii="宋体" w:hAnsi="宋体" w:eastAsia="宋体" w:cs="宋体"/>
          <w:sz w:val="24"/>
          <w:szCs w:val="24"/>
        </w:rPr>
        <w:t>上述各类标准与法规必须是有关官方机构最新发布的现行标准版本。</w:t>
      </w:r>
    </w:p>
    <w:p>
      <w:pPr>
        <w:keepNext w:val="0"/>
        <w:keepLines w:val="0"/>
        <w:pageBreakBefore/>
        <w:widowControl w:val="0"/>
        <w:kinsoku/>
        <w:wordWrap/>
        <w:overflowPunct/>
        <w:topLinePunct w:val="0"/>
        <w:autoSpaceDE/>
        <w:autoSpaceDN/>
        <w:bidi w:val="0"/>
        <w:adjustRightInd/>
        <w:snapToGrid/>
        <w:textAlignment w:val="auto"/>
        <w:outlineLvl w:val="9"/>
      </w:pPr>
      <w:bookmarkStart w:id="91" w:name="_Toc414"/>
      <w:bookmarkStart w:id="92" w:name="_Toc27120"/>
      <w:bookmarkStart w:id="93" w:name="_Toc525312042"/>
      <w:bookmarkStart w:id="94" w:name="_Toc32480"/>
      <w:bookmarkStart w:id="95" w:name="_Toc17774"/>
      <w:bookmarkStart w:id="96" w:name="_Toc12363"/>
      <w:bookmarkStart w:id="97" w:name="_Toc17750"/>
      <w:bookmarkStart w:id="98" w:name="_Toc24510"/>
      <w:bookmarkStart w:id="99" w:name="_Toc23272"/>
      <w:bookmarkStart w:id="100" w:name="_Toc30214"/>
      <w:bookmarkStart w:id="101" w:name="_Toc30204"/>
    </w:p>
    <w:p>
      <w:pPr>
        <w:keepNext w:val="0"/>
        <w:keepLines w:val="0"/>
        <w:pageBreakBefore w:val="0"/>
        <w:widowControl w:val="0"/>
        <w:kinsoku/>
        <w:wordWrap/>
        <w:overflowPunct/>
        <w:topLinePunct w:val="0"/>
        <w:bidi w:val="0"/>
        <w:snapToGrid/>
        <w:textAlignment w:val="auto"/>
        <w:outlineLvl w:val="9"/>
      </w:pPr>
    </w:p>
    <w:p>
      <w:pPr>
        <w:keepNext w:val="0"/>
        <w:keepLines w:val="0"/>
        <w:pageBreakBefore w:val="0"/>
        <w:widowControl w:val="0"/>
        <w:kinsoku/>
        <w:wordWrap/>
        <w:overflowPunct/>
        <w:topLinePunct w:val="0"/>
        <w:bidi w:val="0"/>
        <w:snapToGrid/>
        <w:textAlignment w:val="auto"/>
        <w:outlineLvl w:val="9"/>
      </w:pPr>
    </w:p>
    <w:p>
      <w:pPr>
        <w:keepNext w:val="0"/>
        <w:keepLines w:val="0"/>
        <w:pageBreakBefore w:val="0"/>
        <w:widowControl w:val="0"/>
        <w:kinsoku/>
        <w:wordWrap/>
        <w:overflowPunct/>
        <w:topLinePunct w:val="0"/>
        <w:bidi w:val="0"/>
        <w:snapToGrid/>
        <w:textAlignment w:val="auto"/>
        <w:outlineLvl w:val="9"/>
      </w:pPr>
    </w:p>
    <w:p>
      <w:pPr>
        <w:keepNext w:val="0"/>
        <w:keepLines w:val="0"/>
        <w:pageBreakBefore w:val="0"/>
        <w:widowControl w:val="0"/>
        <w:kinsoku/>
        <w:wordWrap/>
        <w:overflowPunct/>
        <w:topLinePunct w:val="0"/>
        <w:bidi w:val="0"/>
        <w:snapToGrid/>
        <w:textAlignment w:val="auto"/>
        <w:outlineLvl w:val="9"/>
      </w:pPr>
    </w:p>
    <w:p>
      <w:pPr>
        <w:keepNext w:val="0"/>
        <w:keepLines w:val="0"/>
        <w:pageBreakBefore w:val="0"/>
        <w:widowControl w:val="0"/>
        <w:kinsoku/>
        <w:wordWrap/>
        <w:overflowPunct/>
        <w:topLinePunct w:val="0"/>
        <w:bidi w:val="0"/>
        <w:snapToGrid/>
        <w:textAlignment w:val="auto"/>
        <w:outlineLvl w:val="9"/>
      </w:pPr>
    </w:p>
    <w:p>
      <w:pPr>
        <w:keepNext w:val="0"/>
        <w:keepLines w:val="0"/>
        <w:pageBreakBefore w:val="0"/>
        <w:widowControl w:val="0"/>
        <w:kinsoku/>
        <w:wordWrap/>
        <w:overflowPunct/>
        <w:topLinePunct w:val="0"/>
        <w:bidi w:val="0"/>
        <w:snapToGrid/>
        <w:textAlignment w:val="auto"/>
        <w:outlineLvl w:val="9"/>
      </w:pPr>
    </w:p>
    <w:p>
      <w:pPr>
        <w:keepNext w:val="0"/>
        <w:keepLines w:val="0"/>
        <w:pageBreakBefore w:val="0"/>
        <w:widowControl w:val="0"/>
        <w:kinsoku/>
        <w:wordWrap/>
        <w:overflowPunct/>
        <w:topLinePunct w:val="0"/>
        <w:bidi w:val="0"/>
        <w:snapToGrid/>
        <w:textAlignment w:val="auto"/>
        <w:outlineLvl w:val="9"/>
      </w:pPr>
    </w:p>
    <w:p>
      <w:pPr>
        <w:keepNext w:val="0"/>
        <w:keepLines w:val="0"/>
        <w:pageBreakBefore w:val="0"/>
        <w:widowControl w:val="0"/>
        <w:kinsoku/>
        <w:wordWrap/>
        <w:overflowPunct/>
        <w:topLinePunct w:val="0"/>
        <w:bidi w:val="0"/>
        <w:snapToGrid/>
        <w:textAlignment w:val="auto"/>
        <w:outlineLvl w:val="9"/>
      </w:pPr>
    </w:p>
    <w:p>
      <w:pPr>
        <w:keepNext w:val="0"/>
        <w:keepLines w:val="0"/>
        <w:pageBreakBefore w:val="0"/>
        <w:widowControl w:val="0"/>
        <w:kinsoku/>
        <w:wordWrap/>
        <w:overflowPunct/>
        <w:topLinePunct w:val="0"/>
        <w:bidi w:val="0"/>
        <w:snapToGrid/>
        <w:textAlignment w:val="auto"/>
        <w:outlineLvl w:val="9"/>
      </w:pPr>
    </w:p>
    <w:p>
      <w:pPr>
        <w:keepNext w:val="0"/>
        <w:keepLines w:val="0"/>
        <w:pageBreakBefore w:val="0"/>
        <w:widowControl w:val="0"/>
        <w:kinsoku/>
        <w:wordWrap/>
        <w:overflowPunct/>
        <w:topLinePunct w:val="0"/>
        <w:bidi w:val="0"/>
        <w:snapToGrid/>
        <w:textAlignment w:val="auto"/>
        <w:outlineLvl w:val="9"/>
      </w:pPr>
    </w:p>
    <w:p>
      <w:pPr>
        <w:keepNext w:val="0"/>
        <w:keepLines w:val="0"/>
        <w:pageBreakBefore w:val="0"/>
        <w:widowControl w:val="0"/>
        <w:kinsoku/>
        <w:wordWrap/>
        <w:overflowPunct/>
        <w:topLinePunct w:val="0"/>
        <w:bidi w:val="0"/>
        <w:snapToGrid/>
        <w:textAlignment w:val="auto"/>
        <w:outlineLvl w:val="9"/>
      </w:pPr>
    </w:p>
    <w:p>
      <w:pPr>
        <w:keepNext w:val="0"/>
        <w:keepLines w:val="0"/>
        <w:pageBreakBefore w:val="0"/>
        <w:widowControl w:val="0"/>
        <w:kinsoku/>
        <w:wordWrap/>
        <w:overflowPunct/>
        <w:topLinePunct w:val="0"/>
        <w:bidi w:val="0"/>
        <w:snapToGrid/>
        <w:textAlignment w:val="auto"/>
        <w:outlineLvl w:val="9"/>
      </w:pPr>
    </w:p>
    <w:p>
      <w:pPr>
        <w:keepNext w:val="0"/>
        <w:keepLines w:val="0"/>
        <w:pageBreakBefore w:val="0"/>
        <w:widowControl w:val="0"/>
        <w:kinsoku/>
        <w:wordWrap/>
        <w:overflowPunct/>
        <w:topLinePunct w:val="0"/>
        <w:bidi w:val="0"/>
        <w:snapToGrid/>
        <w:textAlignment w:val="auto"/>
        <w:outlineLvl w:val="9"/>
      </w:pPr>
    </w:p>
    <w:p>
      <w:pPr>
        <w:keepNext w:val="0"/>
        <w:keepLines w:val="0"/>
        <w:pageBreakBefore w:val="0"/>
        <w:widowControl w:val="0"/>
        <w:kinsoku/>
        <w:wordWrap/>
        <w:overflowPunct/>
        <w:topLinePunct w:val="0"/>
        <w:bidi w:val="0"/>
        <w:snapToGrid/>
        <w:textAlignment w:val="auto"/>
        <w:outlineLvl w:val="9"/>
      </w:pPr>
    </w:p>
    <w:p/>
    <w:p/>
    <w:p>
      <w:pPr>
        <w:spacing w:line="216" w:lineRule="auto"/>
        <w:jc w:val="center"/>
        <w:outlineLvl w:val="0"/>
        <w:rPr>
          <w:kern w:val="0"/>
          <w:sz w:val="52"/>
          <w:szCs w:val="20"/>
        </w:rPr>
      </w:pPr>
      <w:bookmarkStart w:id="102" w:name="_Toc19531"/>
      <w:r>
        <w:rPr>
          <w:rFonts w:hint="eastAsia"/>
          <w:kern w:val="0"/>
          <w:sz w:val="52"/>
          <w:szCs w:val="20"/>
        </w:rPr>
        <w:t>第三部分 供应商须知</w:t>
      </w:r>
      <w:bookmarkEnd w:id="69"/>
      <w:bookmarkEnd w:id="70"/>
      <w:bookmarkEnd w:id="71"/>
      <w:bookmarkEnd w:id="72"/>
      <w:bookmarkEnd w:id="73"/>
      <w:bookmarkEnd w:id="74"/>
      <w:bookmarkEnd w:id="75"/>
      <w:bookmarkEnd w:id="76"/>
      <w:bookmarkEnd w:id="91"/>
      <w:bookmarkEnd w:id="92"/>
      <w:bookmarkEnd w:id="93"/>
      <w:bookmarkEnd w:id="94"/>
      <w:bookmarkEnd w:id="95"/>
      <w:bookmarkEnd w:id="96"/>
      <w:bookmarkEnd w:id="97"/>
      <w:bookmarkEnd w:id="98"/>
      <w:bookmarkEnd w:id="99"/>
      <w:bookmarkEnd w:id="100"/>
      <w:bookmarkEnd w:id="101"/>
      <w:bookmarkEnd w:id="102"/>
    </w:p>
    <w:p/>
    <w:p>
      <w:pPr>
        <w:pStyle w:val="15"/>
      </w:pPr>
    </w:p>
    <w:p>
      <w:pPr>
        <w:pStyle w:val="15"/>
      </w:pPr>
    </w:p>
    <w:p>
      <w:pPr>
        <w:pStyle w:val="3"/>
        <w:pageBreakBefore/>
        <w:numPr>
          <w:ilvl w:val="0"/>
          <w:numId w:val="6"/>
        </w:numPr>
        <w:tabs>
          <w:tab w:val="left" w:pos="0"/>
        </w:tabs>
        <w:ind w:left="0" w:firstLine="0"/>
        <w:rPr>
          <w:rFonts w:ascii="宋体-方正超大字符集" w:hAnsi="Times New Roman" w:eastAsia="宋体-方正超大字符集"/>
          <w:color w:val="auto"/>
          <w:sz w:val="32"/>
        </w:rPr>
      </w:pPr>
      <w:bookmarkStart w:id="103" w:name="_Toc23107"/>
      <w:bookmarkStart w:id="104" w:name="_Toc55812443"/>
      <w:bookmarkStart w:id="105" w:name="_Toc22915"/>
      <w:bookmarkStart w:id="106" w:name="_Toc18687"/>
      <w:bookmarkStart w:id="107" w:name="_Toc27555"/>
      <w:bookmarkStart w:id="108" w:name="_Toc29950"/>
      <w:bookmarkStart w:id="109" w:name="_Toc49329252"/>
      <w:bookmarkStart w:id="110" w:name="_Toc31150"/>
      <w:bookmarkStart w:id="111" w:name="_Toc12711"/>
      <w:r>
        <w:rPr>
          <w:rFonts w:hint="eastAsia" w:ascii="宋体-方正超大字符集" w:hAnsi="Times New Roman" w:eastAsia="宋体-方正超大字符集"/>
          <w:color w:val="auto"/>
          <w:sz w:val="32"/>
        </w:rPr>
        <w:t>重要须知事项前置表</w:t>
      </w:r>
      <w:bookmarkEnd w:id="103"/>
      <w:bookmarkEnd w:id="104"/>
      <w:bookmarkEnd w:id="105"/>
      <w:bookmarkEnd w:id="106"/>
      <w:bookmarkEnd w:id="107"/>
      <w:bookmarkEnd w:id="108"/>
      <w:bookmarkEnd w:id="109"/>
      <w:bookmarkEnd w:id="110"/>
      <w:bookmarkEnd w:id="111"/>
    </w:p>
    <w:tbl>
      <w:tblPr>
        <w:tblStyle w:val="24"/>
        <w:tblW w:w="9659"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63"/>
        <w:gridCol w:w="6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shd w:val="clear" w:color="auto" w:fill="E6E6E6"/>
            <w:vAlign w:val="center"/>
          </w:tcPr>
          <w:p>
            <w:pPr>
              <w:adjustRightInd w:val="0"/>
              <w:snapToGrid w:val="0"/>
              <w:spacing w:line="288" w:lineRule="auto"/>
              <w:jc w:val="center"/>
              <w:rPr>
                <w:rFonts w:ascii="宋体" w:hAnsi="宋体" w:cs="宋体"/>
                <w:b/>
                <w:sz w:val="24"/>
                <w:szCs w:val="24"/>
              </w:rPr>
            </w:pPr>
            <w:bookmarkStart w:id="112" w:name="_Toc55812444"/>
            <w:bookmarkStart w:id="113" w:name="_Toc5575595"/>
            <w:bookmarkStart w:id="114" w:name="_Toc20564602"/>
            <w:bookmarkStart w:id="115" w:name="_Toc20571348"/>
            <w:bookmarkStart w:id="116" w:name="_Toc20144968"/>
            <w:bookmarkStart w:id="117" w:name="_Toc5578658"/>
            <w:bookmarkStart w:id="118" w:name="_Toc20564514"/>
            <w:bookmarkStart w:id="119" w:name="_Toc49329253"/>
            <w:bookmarkStart w:id="120" w:name="_Toc8238"/>
            <w:bookmarkStart w:id="121" w:name="_Toc28408"/>
            <w:bookmarkStart w:id="122" w:name="_Toc113157421"/>
            <w:bookmarkStart w:id="123" w:name="_Toc5185"/>
            <w:bookmarkStart w:id="124" w:name="_Toc373767191"/>
            <w:bookmarkStart w:id="125" w:name="_Toc419106555"/>
            <w:bookmarkStart w:id="126" w:name="_Toc525312043"/>
            <w:bookmarkStart w:id="127" w:name="_Toc11216"/>
            <w:bookmarkStart w:id="128" w:name="_Toc8091"/>
            <w:bookmarkStart w:id="129" w:name="_Toc14088"/>
            <w:bookmarkStart w:id="130" w:name="_Toc233"/>
            <w:bookmarkStart w:id="131" w:name="_Toc259803661"/>
            <w:bookmarkStart w:id="132" w:name="_Toc325031934"/>
            <w:bookmarkStart w:id="133" w:name="_Toc310519878"/>
            <w:r>
              <w:rPr>
                <w:rFonts w:hint="eastAsia" w:ascii="宋体" w:hAnsi="宋体" w:cs="宋体"/>
                <w:b/>
                <w:sz w:val="24"/>
                <w:szCs w:val="24"/>
              </w:rPr>
              <w:t>序号</w:t>
            </w:r>
          </w:p>
        </w:tc>
        <w:tc>
          <w:tcPr>
            <w:tcW w:w="2163" w:type="dxa"/>
            <w:shd w:val="clear" w:color="auto" w:fill="E6E6E6"/>
            <w:vAlign w:val="center"/>
          </w:tcPr>
          <w:p>
            <w:pPr>
              <w:adjustRightInd w:val="0"/>
              <w:snapToGrid w:val="0"/>
              <w:spacing w:line="288" w:lineRule="auto"/>
              <w:jc w:val="center"/>
              <w:rPr>
                <w:rFonts w:ascii="宋体" w:hAnsi="宋体" w:cs="宋体"/>
                <w:b/>
                <w:sz w:val="24"/>
                <w:szCs w:val="24"/>
              </w:rPr>
            </w:pPr>
            <w:r>
              <w:rPr>
                <w:rFonts w:hint="eastAsia" w:ascii="宋体" w:hAnsi="宋体" w:cs="宋体"/>
                <w:b/>
                <w:sz w:val="24"/>
                <w:szCs w:val="24"/>
              </w:rPr>
              <w:t>内容</w:t>
            </w:r>
          </w:p>
        </w:tc>
        <w:tc>
          <w:tcPr>
            <w:tcW w:w="6821" w:type="dxa"/>
            <w:shd w:val="clear" w:color="auto" w:fill="E6E6E6"/>
            <w:vAlign w:val="center"/>
          </w:tcPr>
          <w:p>
            <w:pPr>
              <w:adjustRightInd w:val="0"/>
              <w:snapToGrid w:val="0"/>
              <w:spacing w:line="288" w:lineRule="auto"/>
              <w:jc w:val="center"/>
              <w:rPr>
                <w:rFonts w:ascii="宋体" w:hAnsi="宋体" w:cs="宋体"/>
                <w:b/>
                <w:sz w:val="24"/>
                <w:szCs w:val="24"/>
              </w:rPr>
            </w:pPr>
            <w:r>
              <w:rPr>
                <w:rFonts w:hint="eastAsia" w:ascii="宋体" w:hAnsi="宋体" w:cs="宋体"/>
                <w:b/>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tabs>
                <w:tab w:val="left" w:pos="252"/>
              </w:tabs>
              <w:adjustRightInd w:val="0"/>
              <w:snapToGrid w:val="0"/>
              <w:spacing w:line="288" w:lineRule="auto"/>
              <w:ind w:right="-107" w:rightChars="-51"/>
              <w:jc w:val="center"/>
              <w:rPr>
                <w:rFonts w:ascii="宋体" w:hAnsi="宋体" w:cs="宋体"/>
                <w:sz w:val="24"/>
                <w:szCs w:val="24"/>
              </w:rPr>
            </w:pPr>
            <w:r>
              <w:rPr>
                <w:rFonts w:hint="eastAsia" w:ascii="宋体" w:hAnsi="宋体" w:cs="宋体"/>
                <w:sz w:val="24"/>
                <w:szCs w:val="24"/>
              </w:rPr>
              <w:t>1</w:t>
            </w:r>
          </w:p>
        </w:tc>
        <w:tc>
          <w:tcPr>
            <w:tcW w:w="2163" w:type="dxa"/>
            <w:vAlign w:val="center"/>
          </w:tcPr>
          <w:p>
            <w:pPr>
              <w:adjustRightInd w:val="0"/>
              <w:snapToGrid w:val="0"/>
              <w:spacing w:line="288" w:lineRule="auto"/>
              <w:jc w:val="center"/>
              <w:rPr>
                <w:rFonts w:ascii="宋体" w:hAnsi="宋体" w:cs="宋体"/>
                <w:sz w:val="24"/>
                <w:szCs w:val="24"/>
              </w:rPr>
            </w:pPr>
            <w:r>
              <w:rPr>
                <w:rFonts w:hint="eastAsia" w:ascii="宋体" w:hAnsi="宋体" w:cs="宋体"/>
                <w:sz w:val="24"/>
                <w:szCs w:val="24"/>
              </w:rPr>
              <w:t>磋商文件的澄清</w:t>
            </w:r>
          </w:p>
        </w:tc>
        <w:tc>
          <w:tcPr>
            <w:tcW w:w="6821" w:type="dxa"/>
            <w:vAlign w:val="center"/>
          </w:tcPr>
          <w:p>
            <w:pPr>
              <w:keepNext w:val="0"/>
              <w:keepLines w:val="0"/>
              <w:pageBreakBefore w:val="0"/>
              <w:widowControl w:val="0"/>
              <w:numPr>
                <w:ilvl w:val="1"/>
                <w:numId w:val="6"/>
              </w:numPr>
              <w:tabs>
                <w:tab w:val="left" w:pos="432"/>
              </w:tabs>
              <w:kinsoku/>
              <w:wordWrap/>
              <w:overflowPunct/>
              <w:topLinePunct w:val="0"/>
              <w:autoSpaceDE/>
              <w:autoSpaceDN/>
              <w:bidi w:val="0"/>
              <w:adjustRightInd w:val="0"/>
              <w:snapToGrid w:val="0"/>
              <w:spacing w:line="360" w:lineRule="auto"/>
              <w:ind w:left="431" w:hanging="431"/>
              <w:textAlignment w:val="auto"/>
              <w:rPr>
                <w:rFonts w:ascii="宋体" w:hAnsi="宋体" w:cs="宋体"/>
                <w:sz w:val="24"/>
                <w:szCs w:val="24"/>
              </w:rPr>
            </w:pPr>
            <w:r>
              <w:rPr>
                <w:rFonts w:hint="eastAsia" w:ascii="宋体" w:hAnsi="宋体" w:cs="宋体"/>
                <w:sz w:val="24"/>
                <w:szCs w:val="24"/>
              </w:rPr>
              <w:t>采购人不统一组织答疑会</w:t>
            </w:r>
          </w:p>
          <w:p>
            <w:pPr>
              <w:keepNext w:val="0"/>
              <w:keepLines w:val="0"/>
              <w:pageBreakBefore w:val="0"/>
              <w:widowControl w:val="0"/>
              <w:numPr>
                <w:ilvl w:val="1"/>
                <w:numId w:val="6"/>
              </w:numPr>
              <w:tabs>
                <w:tab w:val="left" w:pos="432"/>
              </w:tabs>
              <w:kinsoku/>
              <w:wordWrap/>
              <w:overflowPunct/>
              <w:topLinePunct w:val="0"/>
              <w:autoSpaceDE/>
              <w:autoSpaceDN/>
              <w:bidi w:val="0"/>
              <w:adjustRightInd w:val="0"/>
              <w:snapToGrid w:val="0"/>
              <w:spacing w:line="360" w:lineRule="auto"/>
              <w:ind w:left="431" w:hanging="431"/>
              <w:textAlignment w:val="auto"/>
              <w:rPr>
                <w:rFonts w:ascii="宋体" w:hAnsi="宋体" w:cs="宋体"/>
                <w:sz w:val="24"/>
                <w:szCs w:val="24"/>
              </w:rPr>
            </w:pPr>
            <w:r>
              <w:rPr>
                <w:rFonts w:hint="eastAsia" w:ascii="宋体" w:hAnsi="宋体" w:cs="宋体"/>
                <w:sz w:val="24"/>
                <w:szCs w:val="24"/>
              </w:rPr>
              <w:t>供应商质疑期限：在磋商截止日期前5日</w:t>
            </w:r>
          </w:p>
          <w:p>
            <w:pPr>
              <w:keepNext w:val="0"/>
              <w:keepLines w:val="0"/>
              <w:pageBreakBefore w:val="0"/>
              <w:widowControl w:val="0"/>
              <w:numPr>
                <w:ilvl w:val="1"/>
                <w:numId w:val="6"/>
              </w:numPr>
              <w:tabs>
                <w:tab w:val="left" w:pos="432"/>
              </w:tabs>
              <w:kinsoku/>
              <w:wordWrap/>
              <w:overflowPunct/>
              <w:topLinePunct w:val="0"/>
              <w:autoSpaceDE/>
              <w:autoSpaceDN/>
              <w:bidi w:val="0"/>
              <w:adjustRightInd w:val="0"/>
              <w:snapToGrid w:val="0"/>
              <w:spacing w:line="360" w:lineRule="auto"/>
              <w:ind w:left="431" w:hanging="431"/>
              <w:textAlignment w:val="auto"/>
              <w:rPr>
                <w:rFonts w:ascii="宋体" w:hAnsi="宋体" w:cs="宋体"/>
                <w:sz w:val="24"/>
                <w:szCs w:val="24"/>
              </w:rPr>
            </w:pPr>
            <w:r>
              <w:rPr>
                <w:rFonts w:hint="eastAsia" w:ascii="宋体" w:hAnsi="宋体" w:cs="宋体"/>
                <w:sz w:val="24"/>
                <w:szCs w:val="24"/>
              </w:rPr>
              <w:t>采购人澄清、修改或答疑期限：在磋商截止日期前5日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tabs>
                <w:tab w:val="left" w:pos="252"/>
              </w:tabs>
              <w:adjustRightInd w:val="0"/>
              <w:snapToGrid w:val="0"/>
              <w:spacing w:line="288" w:lineRule="auto"/>
              <w:ind w:right="-107" w:rightChars="-51"/>
              <w:jc w:val="center"/>
              <w:rPr>
                <w:rFonts w:ascii="宋体" w:hAnsi="宋体" w:cs="宋体"/>
                <w:sz w:val="24"/>
                <w:szCs w:val="24"/>
              </w:rPr>
            </w:pPr>
            <w:r>
              <w:rPr>
                <w:rFonts w:hint="eastAsia" w:ascii="宋体" w:hAnsi="宋体" w:cs="宋体"/>
                <w:sz w:val="24"/>
                <w:szCs w:val="24"/>
              </w:rPr>
              <w:t>2</w:t>
            </w:r>
          </w:p>
        </w:tc>
        <w:tc>
          <w:tcPr>
            <w:tcW w:w="2163" w:type="dxa"/>
            <w:vAlign w:val="center"/>
          </w:tcPr>
          <w:p>
            <w:pPr>
              <w:adjustRightInd w:val="0"/>
              <w:snapToGrid w:val="0"/>
              <w:spacing w:line="288" w:lineRule="auto"/>
              <w:jc w:val="center"/>
              <w:rPr>
                <w:rFonts w:ascii="宋体" w:hAnsi="宋体" w:cs="宋体"/>
                <w:sz w:val="24"/>
                <w:szCs w:val="24"/>
              </w:rPr>
            </w:pPr>
            <w:r>
              <w:rPr>
                <w:rFonts w:hint="eastAsia" w:ascii="宋体" w:hAnsi="宋体" w:cs="宋体"/>
                <w:sz w:val="24"/>
                <w:szCs w:val="24"/>
              </w:rPr>
              <w:t>响应文件的递交</w:t>
            </w:r>
          </w:p>
        </w:tc>
        <w:tc>
          <w:tcPr>
            <w:tcW w:w="68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 w:val="24"/>
                <w:szCs w:val="24"/>
                <w:lang w:val="zh-CN"/>
              </w:rPr>
            </w:pPr>
            <w:r>
              <w:rPr>
                <w:rFonts w:hint="eastAsia" w:ascii="宋体" w:hAnsi="宋体" w:cs="宋体"/>
                <w:sz w:val="24"/>
                <w:szCs w:val="24"/>
                <w:lang w:val="zh-CN"/>
              </w:rPr>
              <w:t>供应商应凭以下资料递交响应文件（加盖供应商公章），否则，采购代理机构将有权拒收：</w:t>
            </w:r>
          </w:p>
          <w:p>
            <w:pPr>
              <w:keepNext w:val="0"/>
              <w:keepLines w:val="0"/>
              <w:pageBreakBefore w:val="0"/>
              <w:widowControl w:val="0"/>
              <w:numPr>
                <w:ilvl w:val="0"/>
                <w:numId w:val="7"/>
              </w:numPr>
              <w:tabs>
                <w:tab w:val="left" w:pos="567"/>
              </w:tabs>
              <w:kinsoku/>
              <w:wordWrap/>
              <w:overflowPunct/>
              <w:topLinePunct w:val="0"/>
              <w:autoSpaceDE/>
              <w:autoSpaceDN/>
              <w:bidi w:val="0"/>
              <w:adjustRightInd w:val="0"/>
              <w:snapToGrid w:val="0"/>
              <w:spacing w:line="360" w:lineRule="auto"/>
              <w:textAlignment w:val="auto"/>
              <w:rPr>
                <w:rFonts w:ascii="宋体" w:hAnsi="宋体" w:cs="宋体"/>
                <w:sz w:val="24"/>
                <w:szCs w:val="24"/>
                <w:lang w:val="zh-CN"/>
              </w:rPr>
            </w:pPr>
            <w:r>
              <w:rPr>
                <w:rFonts w:hint="eastAsia" w:ascii="宋体" w:hAnsi="宋体" w:cs="宋体"/>
                <w:sz w:val="24"/>
                <w:szCs w:val="24"/>
                <w:lang w:val="zh-CN"/>
              </w:rPr>
              <w:t>法定代表人/负责人资格证明书 原件；</w:t>
            </w:r>
          </w:p>
          <w:p>
            <w:pPr>
              <w:keepNext w:val="0"/>
              <w:keepLines w:val="0"/>
              <w:pageBreakBefore w:val="0"/>
              <w:widowControl w:val="0"/>
              <w:numPr>
                <w:ilvl w:val="0"/>
                <w:numId w:val="7"/>
              </w:numPr>
              <w:tabs>
                <w:tab w:val="left" w:pos="567"/>
              </w:tabs>
              <w:kinsoku/>
              <w:wordWrap/>
              <w:overflowPunct/>
              <w:topLinePunct w:val="0"/>
              <w:autoSpaceDE/>
              <w:autoSpaceDN/>
              <w:bidi w:val="0"/>
              <w:adjustRightInd w:val="0"/>
              <w:snapToGrid w:val="0"/>
              <w:spacing w:line="360" w:lineRule="auto"/>
              <w:textAlignment w:val="auto"/>
              <w:rPr>
                <w:rFonts w:ascii="宋体" w:hAnsi="宋体" w:cs="宋体"/>
                <w:sz w:val="24"/>
                <w:szCs w:val="24"/>
                <w:lang w:val="zh-CN"/>
              </w:rPr>
            </w:pPr>
            <w:r>
              <w:rPr>
                <w:rFonts w:hint="eastAsia" w:ascii="宋体" w:hAnsi="宋体" w:cs="宋体"/>
                <w:sz w:val="24"/>
                <w:szCs w:val="24"/>
                <w:lang w:val="zh-CN"/>
              </w:rPr>
              <w:t>法定代表人授权书 原件【若法定代表人亲临现场参与</w:t>
            </w:r>
            <w:r>
              <w:rPr>
                <w:rFonts w:hint="eastAsia" w:ascii="宋体" w:hAnsi="宋体" w:cs="宋体"/>
                <w:sz w:val="24"/>
                <w:szCs w:val="24"/>
              </w:rPr>
              <w:t>磋商</w:t>
            </w:r>
            <w:r>
              <w:rPr>
                <w:rFonts w:hint="eastAsia" w:ascii="宋体" w:hAnsi="宋体" w:cs="宋体"/>
                <w:sz w:val="24"/>
                <w:szCs w:val="24"/>
                <w:lang w:val="zh-CN"/>
              </w:rPr>
              <w:t>的，则不需提供】；</w:t>
            </w:r>
          </w:p>
          <w:p>
            <w:pPr>
              <w:keepNext w:val="0"/>
              <w:keepLines w:val="0"/>
              <w:pageBreakBefore w:val="0"/>
              <w:widowControl w:val="0"/>
              <w:numPr>
                <w:ilvl w:val="0"/>
                <w:numId w:val="7"/>
              </w:numPr>
              <w:tabs>
                <w:tab w:val="left" w:pos="567"/>
              </w:tabs>
              <w:kinsoku/>
              <w:wordWrap/>
              <w:overflowPunct/>
              <w:topLinePunct w:val="0"/>
              <w:autoSpaceDE/>
              <w:autoSpaceDN/>
              <w:bidi w:val="0"/>
              <w:adjustRightInd w:val="0"/>
              <w:snapToGrid w:val="0"/>
              <w:spacing w:line="360" w:lineRule="auto"/>
              <w:textAlignment w:val="auto"/>
              <w:rPr>
                <w:rFonts w:ascii="宋体" w:hAnsi="宋体" w:cs="宋体"/>
                <w:sz w:val="24"/>
                <w:szCs w:val="24"/>
                <w:lang w:val="zh-CN"/>
              </w:rPr>
            </w:pPr>
            <w:r>
              <w:rPr>
                <w:rFonts w:hint="eastAsia" w:ascii="宋体" w:hAnsi="宋体" w:cs="宋体"/>
                <w:sz w:val="24"/>
                <w:szCs w:val="24"/>
                <w:lang w:val="zh-CN"/>
              </w:rPr>
              <w:t>法定代表人或授权代表本人身份证原件。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tabs>
                <w:tab w:val="left" w:pos="252"/>
              </w:tabs>
              <w:adjustRightInd w:val="0"/>
              <w:snapToGrid w:val="0"/>
              <w:spacing w:line="288" w:lineRule="auto"/>
              <w:ind w:right="-107" w:rightChars="-51"/>
              <w:jc w:val="center"/>
              <w:rPr>
                <w:rFonts w:ascii="宋体" w:hAnsi="宋体" w:cs="宋体"/>
                <w:sz w:val="24"/>
                <w:szCs w:val="24"/>
              </w:rPr>
            </w:pPr>
            <w:r>
              <w:rPr>
                <w:rFonts w:hint="eastAsia" w:ascii="宋体" w:hAnsi="宋体" w:cs="宋体"/>
                <w:sz w:val="24"/>
                <w:szCs w:val="24"/>
              </w:rPr>
              <w:t>3</w:t>
            </w:r>
          </w:p>
        </w:tc>
        <w:tc>
          <w:tcPr>
            <w:tcW w:w="2163" w:type="dxa"/>
            <w:vAlign w:val="center"/>
          </w:tcPr>
          <w:p>
            <w:pPr>
              <w:adjustRightInd w:val="0"/>
              <w:snapToGrid w:val="0"/>
              <w:spacing w:line="288" w:lineRule="auto"/>
              <w:jc w:val="center"/>
              <w:rPr>
                <w:rFonts w:ascii="宋体" w:hAnsi="宋体" w:cs="宋体"/>
                <w:sz w:val="24"/>
                <w:szCs w:val="24"/>
              </w:rPr>
            </w:pPr>
            <w:r>
              <w:rPr>
                <w:rFonts w:hint="eastAsia" w:ascii="宋体" w:hAnsi="宋体" w:cs="宋体"/>
                <w:sz w:val="24"/>
                <w:szCs w:val="24"/>
              </w:rPr>
              <w:t>登记报名要求</w:t>
            </w:r>
          </w:p>
        </w:tc>
        <w:tc>
          <w:tcPr>
            <w:tcW w:w="68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cs="宋体"/>
                <w:sz w:val="24"/>
                <w:szCs w:val="24"/>
                <w:lang w:val="zh-CN"/>
              </w:rPr>
            </w:pPr>
            <w:r>
              <w:rPr>
                <w:rFonts w:hint="eastAsia" w:ascii="宋体" w:hAnsi="宋体" w:cs="宋体"/>
                <w:sz w:val="24"/>
                <w:szCs w:val="24"/>
              </w:rPr>
              <w:t>有意向参与本项目的供应商须按要求提交相关资料，并向采购代理机构登记报名后正式发放采购文件。经登记报名后的供应商方能参与本项目的磋商与报价，否则采购代理机构将拒绝接收其响应文件。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tabs>
                <w:tab w:val="left" w:pos="252"/>
              </w:tabs>
              <w:adjustRightInd w:val="0"/>
              <w:snapToGrid w:val="0"/>
              <w:spacing w:line="288" w:lineRule="auto"/>
              <w:ind w:right="-107" w:rightChars="-51"/>
              <w:jc w:val="center"/>
              <w:rPr>
                <w:rFonts w:ascii="宋体" w:hAnsi="宋体" w:cs="宋体"/>
                <w:sz w:val="24"/>
                <w:szCs w:val="24"/>
              </w:rPr>
            </w:pPr>
            <w:r>
              <w:rPr>
                <w:rFonts w:hint="eastAsia" w:ascii="宋体" w:hAnsi="宋体" w:cs="宋体"/>
                <w:sz w:val="24"/>
                <w:szCs w:val="24"/>
              </w:rPr>
              <w:t>4</w:t>
            </w:r>
          </w:p>
        </w:tc>
        <w:tc>
          <w:tcPr>
            <w:tcW w:w="2163" w:type="dxa"/>
            <w:vAlign w:val="center"/>
          </w:tcPr>
          <w:p>
            <w:pPr>
              <w:adjustRightInd w:val="0"/>
              <w:snapToGrid w:val="0"/>
              <w:spacing w:line="288" w:lineRule="auto"/>
              <w:jc w:val="center"/>
              <w:rPr>
                <w:rFonts w:ascii="宋体" w:hAnsi="宋体" w:cs="宋体"/>
                <w:sz w:val="24"/>
                <w:szCs w:val="24"/>
              </w:rPr>
            </w:pPr>
            <w:r>
              <w:rPr>
                <w:rFonts w:hint="eastAsia" w:ascii="宋体" w:hAnsi="宋体" w:cs="宋体"/>
                <w:sz w:val="24"/>
                <w:szCs w:val="24"/>
              </w:rPr>
              <w:t>磋商保证金</w:t>
            </w:r>
          </w:p>
        </w:tc>
        <w:tc>
          <w:tcPr>
            <w:tcW w:w="68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cs="宋体"/>
                <w:sz w:val="24"/>
                <w:szCs w:val="24"/>
                <w:lang w:val="zh-CN"/>
              </w:rPr>
            </w:pPr>
            <w:r>
              <w:rPr>
                <w:rFonts w:hint="eastAsia" w:ascii="宋体" w:hAnsi="宋体" w:cs="宋体"/>
                <w:sz w:val="24"/>
                <w:szCs w:val="24"/>
              </w:rPr>
              <w:t>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tabs>
                <w:tab w:val="left" w:pos="252"/>
              </w:tabs>
              <w:adjustRightInd w:val="0"/>
              <w:snapToGrid w:val="0"/>
              <w:spacing w:line="288" w:lineRule="auto"/>
              <w:ind w:right="-107" w:rightChars="-51"/>
              <w:jc w:val="center"/>
              <w:rPr>
                <w:rFonts w:ascii="宋体" w:hAnsi="宋体" w:cs="宋体"/>
                <w:sz w:val="24"/>
                <w:szCs w:val="24"/>
              </w:rPr>
            </w:pPr>
            <w:r>
              <w:rPr>
                <w:rFonts w:hint="eastAsia" w:ascii="宋体" w:hAnsi="宋体" w:cs="宋体"/>
                <w:sz w:val="24"/>
                <w:szCs w:val="24"/>
              </w:rPr>
              <w:t>5</w:t>
            </w:r>
          </w:p>
        </w:tc>
        <w:tc>
          <w:tcPr>
            <w:tcW w:w="2163" w:type="dxa"/>
            <w:vAlign w:val="center"/>
          </w:tcPr>
          <w:p>
            <w:pPr>
              <w:adjustRightInd w:val="0"/>
              <w:snapToGrid w:val="0"/>
              <w:spacing w:line="288" w:lineRule="auto"/>
              <w:jc w:val="center"/>
              <w:rPr>
                <w:rFonts w:ascii="宋体" w:hAnsi="宋体" w:cs="宋体"/>
                <w:sz w:val="24"/>
                <w:szCs w:val="24"/>
              </w:rPr>
            </w:pPr>
            <w:r>
              <w:rPr>
                <w:rFonts w:hint="eastAsia" w:ascii="宋体" w:hAnsi="宋体" w:cs="宋体"/>
                <w:sz w:val="24"/>
                <w:szCs w:val="24"/>
              </w:rPr>
              <w:t>响应文件递交数量</w:t>
            </w:r>
          </w:p>
        </w:tc>
        <w:tc>
          <w:tcPr>
            <w:tcW w:w="6821" w:type="dxa"/>
            <w:vAlign w:val="center"/>
          </w:tcPr>
          <w:p>
            <w:pPr>
              <w:keepNext w:val="0"/>
              <w:keepLines w:val="0"/>
              <w:pageBreakBefore w:val="0"/>
              <w:widowControl w:val="0"/>
              <w:numPr>
                <w:ilvl w:val="0"/>
                <w:numId w:val="8"/>
              </w:numPr>
              <w:tabs>
                <w:tab w:val="left" w:pos="420"/>
              </w:tabs>
              <w:kinsoku/>
              <w:wordWrap/>
              <w:overflowPunct/>
              <w:topLinePunct w:val="0"/>
              <w:autoSpaceDE/>
              <w:autoSpaceDN/>
              <w:bidi w:val="0"/>
              <w:adjustRightInd w:val="0"/>
              <w:snapToGrid w:val="0"/>
              <w:spacing w:line="360" w:lineRule="auto"/>
              <w:ind w:left="431" w:hanging="431"/>
              <w:textAlignment w:val="auto"/>
              <w:rPr>
                <w:rFonts w:ascii="宋体" w:hAnsi="宋体" w:cs="宋体"/>
                <w:sz w:val="24"/>
                <w:szCs w:val="24"/>
                <w:lang w:val="en-GB"/>
              </w:rPr>
            </w:pPr>
            <w:r>
              <w:rPr>
                <w:rFonts w:hint="eastAsia" w:ascii="宋体" w:hAnsi="宋体" w:cs="宋体"/>
                <w:b/>
                <w:sz w:val="24"/>
                <w:szCs w:val="24"/>
                <w:lang w:val="en-GB"/>
              </w:rPr>
              <w:t>《响应文件》</w:t>
            </w:r>
            <w:r>
              <w:rPr>
                <w:rFonts w:hint="eastAsia" w:ascii="宋体" w:hAnsi="宋体" w:cs="宋体"/>
                <w:sz w:val="24"/>
                <w:szCs w:val="24"/>
                <w:lang w:val="en-GB"/>
              </w:rPr>
              <w:t>密封包：一份【内含《响应文件》1份正本和</w:t>
            </w:r>
            <w:r>
              <w:rPr>
                <w:rFonts w:hint="eastAsia" w:ascii="宋体" w:hAnsi="宋体" w:cs="宋体"/>
                <w:sz w:val="24"/>
                <w:szCs w:val="24"/>
                <w:lang w:val="en-US" w:eastAsia="zh-CN"/>
              </w:rPr>
              <w:t>2</w:t>
            </w:r>
            <w:r>
              <w:rPr>
                <w:rFonts w:hint="eastAsia" w:ascii="宋体" w:hAnsi="宋体" w:cs="宋体"/>
                <w:sz w:val="24"/>
                <w:szCs w:val="24"/>
                <w:lang w:val="en-GB"/>
              </w:rPr>
              <w:t>份副本】；</w:t>
            </w:r>
          </w:p>
          <w:p>
            <w:pPr>
              <w:keepNext w:val="0"/>
              <w:keepLines w:val="0"/>
              <w:pageBreakBefore w:val="0"/>
              <w:widowControl w:val="0"/>
              <w:numPr>
                <w:ilvl w:val="0"/>
                <w:numId w:val="8"/>
              </w:numPr>
              <w:tabs>
                <w:tab w:val="left" w:pos="420"/>
              </w:tabs>
              <w:kinsoku/>
              <w:wordWrap/>
              <w:overflowPunct/>
              <w:topLinePunct w:val="0"/>
              <w:autoSpaceDE/>
              <w:autoSpaceDN/>
              <w:bidi w:val="0"/>
              <w:adjustRightInd w:val="0"/>
              <w:snapToGrid w:val="0"/>
              <w:spacing w:line="360" w:lineRule="auto"/>
              <w:ind w:left="431" w:hanging="431"/>
              <w:textAlignment w:val="auto"/>
              <w:rPr>
                <w:rFonts w:ascii="宋体" w:hAnsi="宋体" w:cs="宋体"/>
                <w:sz w:val="24"/>
                <w:szCs w:val="24"/>
                <w:lang w:val="en-GB"/>
              </w:rPr>
            </w:pPr>
            <w:r>
              <w:rPr>
                <w:rFonts w:hint="eastAsia" w:ascii="宋体" w:hAnsi="宋体" w:cs="宋体"/>
                <w:b/>
                <w:sz w:val="24"/>
                <w:szCs w:val="24"/>
                <w:lang w:val="en-GB"/>
              </w:rPr>
              <w:t>报价信封</w:t>
            </w:r>
            <w:r>
              <w:rPr>
                <w:rFonts w:hint="eastAsia" w:ascii="宋体" w:hAnsi="宋体" w:cs="宋体"/>
                <w:sz w:val="24"/>
                <w:szCs w:val="24"/>
                <w:lang w:val="en-GB"/>
              </w:rPr>
              <w:t>密封包：一份【内含《磋商报价汇总表》原件1份，响应文件电子光盘</w:t>
            </w:r>
            <w:r>
              <w:rPr>
                <w:rFonts w:hint="eastAsia" w:ascii="宋体" w:hAnsi="宋体" w:cs="宋体"/>
                <w:sz w:val="24"/>
                <w:szCs w:val="24"/>
              </w:rPr>
              <w:t>/U盘</w:t>
            </w:r>
            <w:r>
              <w:rPr>
                <w:rFonts w:hint="eastAsia" w:ascii="宋体" w:hAnsi="宋体" w:cs="宋体"/>
                <w:sz w:val="24"/>
                <w:szCs w:val="24"/>
                <w:lang w:val="en-GB"/>
              </w:rPr>
              <w:t>1份</w:t>
            </w:r>
            <w:r>
              <w:rPr>
                <w:rFonts w:hint="eastAsia" w:ascii="宋体" w:hAnsi="宋体" w:cs="宋体"/>
                <w:b/>
                <w:bCs/>
                <w:sz w:val="24"/>
                <w:szCs w:val="24"/>
                <w:lang w:val="en-GB"/>
              </w:rPr>
              <w:t>（光盘</w:t>
            </w:r>
            <w:r>
              <w:rPr>
                <w:rFonts w:hint="eastAsia" w:ascii="宋体" w:hAnsi="宋体" w:cs="宋体"/>
                <w:b/>
                <w:bCs/>
                <w:sz w:val="24"/>
                <w:szCs w:val="24"/>
              </w:rPr>
              <w:t>/U盘内含彩色PDF扫描件盖章版响应文件一份</w:t>
            </w:r>
            <w:r>
              <w:rPr>
                <w:rFonts w:hint="eastAsia" w:ascii="宋体" w:hAnsi="宋体" w:cs="宋体"/>
                <w:b/>
                <w:bCs/>
                <w:sz w:val="24"/>
                <w:szCs w:val="24"/>
                <w:lang w:val="en-GB"/>
              </w:rPr>
              <w:t>）</w:t>
            </w:r>
            <w:r>
              <w:rPr>
                <w:rFonts w:hint="eastAsia" w:ascii="宋体" w:hAnsi="宋体" w:cs="宋体"/>
                <w:sz w:val="24"/>
                <w:szCs w:val="24"/>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tabs>
                <w:tab w:val="left" w:pos="252"/>
              </w:tabs>
              <w:adjustRightInd w:val="0"/>
              <w:snapToGrid w:val="0"/>
              <w:spacing w:line="288" w:lineRule="auto"/>
              <w:ind w:right="-107" w:rightChars="-51"/>
              <w:jc w:val="center"/>
              <w:rPr>
                <w:rFonts w:ascii="宋体" w:hAnsi="宋体" w:cs="宋体"/>
                <w:sz w:val="24"/>
                <w:szCs w:val="24"/>
              </w:rPr>
            </w:pPr>
            <w:r>
              <w:rPr>
                <w:rFonts w:hint="eastAsia" w:ascii="宋体" w:hAnsi="宋体" w:cs="宋体"/>
                <w:sz w:val="24"/>
                <w:szCs w:val="24"/>
              </w:rPr>
              <w:t>6</w:t>
            </w:r>
          </w:p>
        </w:tc>
        <w:tc>
          <w:tcPr>
            <w:tcW w:w="2163" w:type="dxa"/>
            <w:vAlign w:val="center"/>
          </w:tcPr>
          <w:p>
            <w:pPr>
              <w:adjustRightInd w:val="0"/>
              <w:snapToGrid w:val="0"/>
              <w:spacing w:line="288" w:lineRule="auto"/>
              <w:jc w:val="center"/>
              <w:rPr>
                <w:rFonts w:ascii="宋体" w:hAnsi="宋体" w:cs="宋体"/>
                <w:sz w:val="24"/>
                <w:szCs w:val="24"/>
              </w:rPr>
            </w:pPr>
            <w:r>
              <w:rPr>
                <w:rFonts w:hint="eastAsia" w:ascii="宋体" w:hAnsi="宋体" w:cs="宋体"/>
                <w:sz w:val="24"/>
                <w:szCs w:val="24"/>
              </w:rPr>
              <w:t>响应文件的制作要求及密封要求</w:t>
            </w:r>
          </w:p>
        </w:tc>
        <w:tc>
          <w:tcPr>
            <w:tcW w:w="6821" w:type="dxa"/>
            <w:vAlign w:val="center"/>
          </w:tcPr>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textAlignment w:val="auto"/>
              <w:rPr>
                <w:rFonts w:ascii="宋体" w:hAnsi="宋体" w:cs="宋体"/>
                <w:sz w:val="24"/>
                <w:szCs w:val="24"/>
                <w:lang w:val="en-GB"/>
              </w:rPr>
            </w:pPr>
            <w:r>
              <w:rPr>
                <w:rFonts w:hint="eastAsia" w:ascii="宋体" w:hAnsi="宋体" w:cs="宋体"/>
                <w:sz w:val="24"/>
                <w:szCs w:val="24"/>
                <w:lang w:val="en-GB"/>
              </w:rPr>
              <w:t>《响应文件》由资格性文件、评审内容索引、商务部分、技术部分、价格部分及其他文件共六部分组成，并将上述六部分内容装订为一册。</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textAlignment w:val="auto"/>
              <w:rPr>
                <w:rFonts w:ascii="宋体" w:hAnsi="宋体" w:cs="宋体"/>
                <w:sz w:val="24"/>
                <w:szCs w:val="24"/>
                <w:lang w:val="en-GB"/>
              </w:rPr>
            </w:pPr>
            <w:r>
              <w:rPr>
                <w:rFonts w:hint="eastAsia" w:ascii="宋体" w:hAnsi="宋体" w:cs="宋体"/>
                <w:sz w:val="24"/>
                <w:szCs w:val="24"/>
                <w:lang w:val="en-GB"/>
              </w:rPr>
              <w:t>《响应文件》的【正本】及所有【副本】的</w:t>
            </w:r>
            <w:r>
              <w:rPr>
                <w:rFonts w:hint="eastAsia" w:ascii="宋体" w:hAnsi="宋体" w:cs="宋体"/>
                <w:b/>
                <w:sz w:val="24"/>
                <w:szCs w:val="24"/>
                <w:lang w:val="en-GB"/>
              </w:rPr>
              <w:t>封面及骑缝</w:t>
            </w:r>
            <w:r>
              <w:rPr>
                <w:rFonts w:hint="eastAsia" w:ascii="宋体" w:hAnsi="宋体" w:cs="宋体"/>
                <w:sz w:val="24"/>
                <w:szCs w:val="24"/>
                <w:lang w:val="en-GB"/>
              </w:rPr>
              <w:t>均须加盖供应商公章。</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textAlignment w:val="auto"/>
              <w:rPr>
                <w:rFonts w:ascii="宋体" w:hAnsi="宋体" w:cs="宋体"/>
                <w:sz w:val="24"/>
                <w:szCs w:val="24"/>
                <w:lang w:val="en-GB"/>
              </w:rPr>
            </w:pPr>
            <w:r>
              <w:rPr>
                <w:rFonts w:hint="eastAsia" w:ascii="宋体" w:hAnsi="宋体" w:cs="宋体"/>
                <w:b/>
                <w:sz w:val="24"/>
                <w:szCs w:val="24"/>
                <w:lang w:val="en-GB"/>
              </w:rPr>
              <w:t>报价信封必须与响应文件【正、副本】</w:t>
            </w:r>
            <w:r>
              <w:rPr>
                <w:rFonts w:hint="eastAsia" w:ascii="宋体" w:hAnsi="宋体" w:cs="宋体"/>
                <w:b/>
                <w:sz w:val="24"/>
                <w:szCs w:val="24"/>
                <w:u w:val="single"/>
                <w:lang w:val="en-GB"/>
              </w:rPr>
              <w:t>分开单独密封</w:t>
            </w:r>
            <w:r>
              <w:rPr>
                <w:rFonts w:hint="eastAsia" w:ascii="宋体" w:hAnsi="宋体" w:cs="宋体"/>
                <w:b/>
                <w:sz w:val="24"/>
                <w:szCs w:val="24"/>
                <w:lang w:val="en-GB"/>
              </w:rPr>
              <w:t>，并应在规定时间内同时递交，每份密封文件应</w:t>
            </w:r>
            <w:r>
              <w:rPr>
                <w:rFonts w:hint="eastAsia" w:ascii="宋体" w:hAnsi="宋体" w:cs="宋体"/>
                <w:b/>
                <w:sz w:val="24"/>
                <w:szCs w:val="24"/>
                <w:u w:val="single"/>
                <w:lang w:val="en-GB"/>
              </w:rPr>
              <w:t>在封口</w:t>
            </w:r>
            <w:r>
              <w:rPr>
                <w:rFonts w:hint="eastAsia" w:ascii="宋体" w:hAnsi="宋体" w:cs="宋体"/>
                <w:b/>
                <w:sz w:val="24"/>
                <w:szCs w:val="24"/>
                <w:lang w:val="en-GB"/>
              </w:rPr>
              <w:t>处加盖供应商公章。“电子文档”（光盘</w:t>
            </w:r>
            <w:r>
              <w:rPr>
                <w:rFonts w:hint="eastAsia" w:ascii="宋体" w:hAnsi="宋体" w:cs="宋体"/>
                <w:b/>
                <w:sz w:val="24"/>
                <w:szCs w:val="24"/>
              </w:rPr>
              <w:t>/U盘</w:t>
            </w:r>
            <w:r>
              <w:rPr>
                <w:rFonts w:hint="eastAsia" w:ascii="宋体" w:hAnsi="宋体" w:cs="宋体"/>
                <w:b/>
                <w:sz w:val="24"/>
                <w:szCs w:val="24"/>
                <w:lang w:val="en-GB"/>
              </w:rPr>
              <w:t>）表面须标明供应商名称，密封于报价信封之内。</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textAlignment w:val="auto"/>
              <w:rPr>
                <w:rFonts w:ascii="宋体" w:hAnsi="宋体" w:cs="宋体"/>
                <w:sz w:val="24"/>
                <w:szCs w:val="24"/>
                <w:lang w:val="en-GB"/>
              </w:rPr>
            </w:pPr>
            <w:r>
              <w:rPr>
                <w:rFonts w:hint="eastAsia" w:ascii="宋体" w:hAnsi="宋体" w:cs="宋体"/>
                <w:sz w:val="24"/>
                <w:szCs w:val="24"/>
                <w:lang w:val="en-GB"/>
              </w:rPr>
              <w:t>所有密封文件封套正面统一按“文件包装袋封面”格式填写标贴。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tabs>
                <w:tab w:val="left" w:pos="252"/>
              </w:tabs>
              <w:adjustRightInd w:val="0"/>
              <w:snapToGrid w:val="0"/>
              <w:spacing w:line="288" w:lineRule="auto"/>
              <w:ind w:right="-107" w:rightChars="-51"/>
              <w:jc w:val="center"/>
              <w:rPr>
                <w:rFonts w:ascii="宋体" w:hAnsi="宋体" w:cs="宋体"/>
                <w:sz w:val="24"/>
                <w:szCs w:val="24"/>
              </w:rPr>
            </w:pPr>
            <w:r>
              <w:rPr>
                <w:rFonts w:hint="eastAsia" w:ascii="宋体" w:hAnsi="宋体" w:cs="宋体"/>
                <w:sz w:val="24"/>
                <w:szCs w:val="24"/>
              </w:rPr>
              <w:t>7</w:t>
            </w:r>
          </w:p>
        </w:tc>
        <w:tc>
          <w:tcPr>
            <w:tcW w:w="2163" w:type="dxa"/>
            <w:vAlign w:val="center"/>
          </w:tcPr>
          <w:p>
            <w:pPr>
              <w:adjustRightInd w:val="0"/>
              <w:snapToGrid w:val="0"/>
              <w:spacing w:line="288" w:lineRule="auto"/>
              <w:jc w:val="center"/>
              <w:rPr>
                <w:rFonts w:ascii="宋体" w:hAnsi="宋体" w:cs="宋体"/>
                <w:sz w:val="24"/>
                <w:szCs w:val="24"/>
              </w:rPr>
            </w:pPr>
            <w:r>
              <w:rPr>
                <w:rFonts w:hint="eastAsia" w:ascii="宋体" w:hAnsi="宋体" w:cs="宋体"/>
                <w:sz w:val="24"/>
                <w:szCs w:val="24"/>
              </w:rPr>
              <w:t>磋商有效期</w:t>
            </w:r>
          </w:p>
        </w:tc>
        <w:tc>
          <w:tcPr>
            <w:tcW w:w="68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 w:val="24"/>
                <w:szCs w:val="24"/>
              </w:rPr>
            </w:pPr>
            <w:r>
              <w:rPr>
                <w:rFonts w:hint="eastAsia" w:ascii="宋体" w:hAnsi="宋体" w:cs="宋体"/>
                <w:sz w:val="24"/>
                <w:szCs w:val="24"/>
              </w:rPr>
              <w:t>递交响应文件截止日后90天内有效，</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 w:val="24"/>
                <w:szCs w:val="24"/>
              </w:rPr>
            </w:pPr>
            <w:r>
              <w:rPr>
                <w:rFonts w:hint="eastAsia" w:ascii="宋体" w:hAnsi="宋体" w:cs="宋体"/>
                <w:bCs/>
                <w:sz w:val="24"/>
                <w:szCs w:val="24"/>
              </w:rPr>
              <w:t>成交</w:t>
            </w:r>
            <w:r>
              <w:rPr>
                <w:rFonts w:hint="eastAsia" w:ascii="宋体" w:hAnsi="宋体" w:cs="宋体"/>
                <w:sz w:val="24"/>
                <w:szCs w:val="24"/>
              </w:rPr>
              <w:t>单位的有效期延续到项目</w:t>
            </w:r>
            <w:r>
              <w:rPr>
                <w:rFonts w:hint="eastAsia" w:ascii="宋体" w:hAnsi="宋体" w:cs="宋体"/>
                <w:sz w:val="24"/>
                <w:szCs w:val="24"/>
                <w:lang w:eastAsia="zh-CN"/>
              </w:rPr>
              <w:t>质保期满</w:t>
            </w:r>
            <w:r>
              <w:rPr>
                <w:rFonts w:hint="eastAsia" w:ascii="宋体" w:hAnsi="宋体" w:cs="宋体"/>
                <w:sz w:val="24"/>
                <w:szCs w:val="24"/>
              </w:rPr>
              <w:t>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tabs>
                <w:tab w:val="left" w:pos="252"/>
              </w:tabs>
              <w:adjustRightInd w:val="0"/>
              <w:snapToGrid w:val="0"/>
              <w:spacing w:line="288" w:lineRule="auto"/>
              <w:ind w:right="-107" w:rightChars="-51"/>
              <w:jc w:val="center"/>
              <w:rPr>
                <w:rFonts w:ascii="宋体" w:hAnsi="宋体" w:cs="宋体"/>
                <w:sz w:val="24"/>
                <w:szCs w:val="24"/>
              </w:rPr>
            </w:pPr>
            <w:r>
              <w:rPr>
                <w:rFonts w:hint="eastAsia" w:ascii="宋体" w:hAnsi="宋体" w:cs="宋体"/>
                <w:sz w:val="24"/>
                <w:szCs w:val="24"/>
              </w:rPr>
              <w:t>8</w:t>
            </w:r>
          </w:p>
        </w:tc>
        <w:tc>
          <w:tcPr>
            <w:tcW w:w="2163" w:type="dxa"/>
            <w:vAlign w:val="center"/>
          </w:tcPr>
          <w:p>
            <w:pPr>
              <w:adjustRightInd w:val="0"/>
              <w:snapToGrid w:val="0"/>
              <w:spacing w:line="288" w:lineRule="auto"/>
              <w:jc w:val="center"/>
              <w:rPr>
                <w:rFonts w:ascii="宋体" w:hAnsi="宋体" w:cs="宋体"/>
                <w:sz w:val="24"/>
                <w:szCs w:val="24"/>
              </w:rPr>
            </w:pPr>
            <w:r>
              <w:rPr>
                <w:rFonts w:hint="eastAsia" w:ascii="宋体" w:hAnsi="宋体" w:cs="宋体"/>
                <w:bCs/>
                <w:sz w:val="24"/>
                <w:szCs w:val="24"/>
              </w:rPr>
              <w:t>成交</w:t>
            </w:r>
            <w:r>
              <w:rPr>
                <w:rFonts w:hint="eastAsia" w:ascii="宋体" w:hAnsi="宋体" w:cs="宋体"/>
                <w:sz w:val="24"/>
                <w:szCs w:val="24"/>
              </w:rPr>
              <w:t>服务费</w:t>
            </w:r>
            <w:r>
              <w:rPr>
                <w:rFonts w:hint="eastAsia" w:ascii="宋体" w:hAnsi="宋体" w:cs="宋体"/>
                <w:bCs/>
                <w:sz w:val="24"/>
                <w:szCs w:val="24"/>
              </w:rPr>
              <w:t>收费标准</w:t>
            </w:r>
          </w:p>
        </w:tc>
        <w:tc>
          <w:tcPr>
            <w:tcW w:w="68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 w:val="24"/>
                <w:szCs w:val="24"/>
              </w:rPr>
            </w:pPr>
            <w:r>
              <w:rPr>
                <w:rFonts w:hint="eastAsia" w:ascii="宋体" w:hAnsi="宋体" w:cs="宋体"/>
                <w:sz w:val="24"/>
                <w:szCs w:val="24"/>
              </w:rPr>
              <w:t>成交供应商在领取《成交通知书》原件</w:t>
            </w:r>
            <w:r>
              <w:rPr>
                <w:rFonts w:hint="eastAsia" w:ascii="宋体" w:hAnsi="宋体" w:cs="宋体"/>
                <w:sz w:val="24"/>
                <w:szCs w:val="24"/>
                <w:lang w:eastAsia="zh-CN"/>
              </w:rPr>
              <w:t>前</w:t>
            </w:r>
            <w:r>
              <w:rPr>
                <w:rFonts w:hint="eastAsia" w:ascii="宋体" w:hAnsi="宋体" w:cs="宋体"/>
                <w:sz w:val="24"/>
                <w:szCs w:val="24"/>
              </w:rPr>
              <w:t>向采购代理机构一次性支付，成交服务费收费定额3000元。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tabs>
                <w:tab w:val="left" w:pos="252"/>
              </w:tabs>
              <w:adjustRightInd w:val="0"/>
              <w:snapToGrid w:val="0"/>
              <w:spacing w:line="288" w:lineRule="auto"/>
              <w:ind w:right="-107" w:rightChars="-51"/>
              <w:jc w:val="center"/>
              <w:rPr>
                <w:rFonts w:ascii="宋体" w:hAnsi="宋体" w:cs="宋体"/>
                <w:sz w:val="24"/>
                <w:szCs w:val="24"/>
              </w:rPr>
            </w:pPr>
            <w:r>
              <w:rPr>
                <w:rFonts w:hint="eastAsia" w:ascii="宋体" w:hAnsi="宋体" w:cs="宋体"/>
                <w:sz w:val="24"/>
                <w:szCs w:val="24"/>
              </w:rPr>
              <w:t>9</w:t>
            </w:r>
          </w:p>
        </w:tc>
        <w:tc>
          <w:tcPr>
            <w:tcW w:w="2163" w:type="dxa"/>
            <w:vAlign w:val="center"/>
          </w:tcPr>
          <w:p>
            <w:pPr>
              <w:adjustRightInd w:val="0"/>
              <w:snapToGrid w:val="0"/>
              <w:spacing w:line="288" w:lineRule="auto"/>
              <w:jc w:val="center"/>
              <w:rPr>
                <w:rFonts w:ascii="宋体" w:hAnsi="宋体" w:cs="宋体"/>
                <w:sz w:val="24"/>
                <w:szCs w:val="24"/>
              </w:rPr>
            </w:pPr>
            <w:r>
              <w:rPr>
                <w:rFonts w:hint="eastAsia" w:ascii="宋体" w:hAnsi="宋体" w:cs="宋体"/>
                <w:sz w:val="24"/>
                <w:szCs w:val="24"/>
              </w:rPr>
              <w:t>评标方法</w:t>
            </w:r>
          </w:p>
        </w:tc>
        <w:tc>
          <w:tcPr>
            <w:tcW w:w="68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sz w:val="24"/>
                <w:szCs w:val="24"/>
              </w:rPr>
            </w:pPr>
            <w:r>
              <w:rPr>
                <w:rFonts w:hint="eastAsia" w:ascii="宋体" w:hAnsi="宋体" w:cs="宋体"/>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tabs>
                <w:tab w:val="left" w:pos="252"/>
              </w:tabs>
              <w:adjustRightInd w:val="0"/>
              <w:snapToGrid w:val="0"/>
              <w:spacing w:line="288" w:lineRule="auto"/>
              <w:ind w:right="-107" w:rightChars="-51"/>
              <w:jc w:val="center"/>
              <w:rPr>
                <w:rFonts w:ascii="宋体" w:hAnsi="宋体" w:cs="宋体"/>
                <w:sz w:val="24"/>
                <w:szCs w:val="24"/>
              </w:rPr>
            </w:pPr>
            <w:r>
              <w:rPr>
                <w:rFonts w:hint="eastAsia" w:ascii="宋体" w:hAnsi="宋体" w:cs="宋体"/>
                <w:sz w:val="24"/>
                <w:szCs w:val="24"/>
              </w:rPr>
              <w:t>10</w:t>
            </w:r>
          </w:p>
        </w:tc>
        <w:tc>
          <w:tcPr>
            <w:tcW w:w="2163" w:type="dxa"/>
            <w:vAlign w:val="center"/>
          </w:tcPr>
          <w:p>
            <w:pPr>
              <w:adjustRightInd w:val="0"/>
              <w:snapToGrid w:val="0"/>
              <w:spacing w:line="288" w:lineRule="auto"/>
              <w:jc w:val="center"/>
              <w:rPr>
                <w:rFonts w:ascii="宋体" w:hAnsi="宋体" w:cs="宋体"/>
                <w:sz w:val="24"/>
                <w:szCs w:val="24"/>
              </w:rPr>
            </w:pPr>
            <w:r>
              <w:rPr>
                <w:rFonts w:hint="eastAsia" w:ascii="宋体" w:hAnsi="宋体" w:cs="宋体"/>
                <w:sz w:val="24"/>
                <w:szCs w:val="24"/>
              </w:rPr>
              <w:t>其他</w:t>
            </w:r>
          </w:p>
        </w:tc>
        <w:tc>
          <w:tcPr>
            <w:tcW w:w="68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本项目所属行业为：建筑业。</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cs="宋体"/>
                <w:sz w:val="24"/>
                <w:szCs w:val="24"/>
              </w:rPr>
            </w:pPr>
            <w:r>
              <w:rPr>
                <w:rFonts w:hint="eastAsia" w:ascii="宋体" w:hAnsi="宋体" w:eastAsia="宋体" w:cs="宋体"/>
                <w:sz w:val="24"/>
                <w:szCs w:val="24"/>
                <w:lang w:val="en-US" w:eastAsia="zh-CN"/>
              </w:rPr>
              <w:t>根据《中小企业划型标准规定》（工信部联企业[2011]300号），建筑业企业规模标准为：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供应商应当自行核实是否属于中小微企业，并认真填写《中小企业声明函》，若有虚假将追究其责任。</w:t>
            </w:r>
          </w:p>
        </w:tc>
      </w:tr>
    </w:tbl>
    <w:p>
      <w:pPr>
        <w:pStyle w:val="3"/>
        <w:pageBreakBefore/>
        <w:numPr>
          <w:ilvl w:val="0"/>
          <w:numId w:val="6"/>
        </w:numPr>
        <w:tabs>
          <w:tab w:val="left" w:pos="0"/>
        </w:tabs>
        <w:snapToGrid w:val="0"/>
        <w:ind w:left="2" w:firstLine="0"/>
        <w:rPr>
          <w:rFonts w:ascii="宋体-方正超大字符集" w:hAnsi="Times New Roman" w:eastAsia="宋体-方正超大字符集"/>
          <w:color w:val="auto"/>
          <w:sz w:val="32"/>
        </w:rPr>
      </w:pPr>
      <w:bookmarkStart w:id="134" w:name="_Toc27570"/>
      <w:bookmarkStart w:id="135" w:name="_Toc8315"/>
      <w:bookmarkStart w:id="136" w:name="_Toc22928"/>
      <w:bookmarkStart w:id="137" w:name="_Toc28453"/>
      <w:bookmarkStart w:id="138" w:name="_Toc17374"/>
      <w:bookmarkStart w:id="139" w:name="_Toc24719"/>
      <w:bookmarkStart w:id="140" w:name="_Toc3482"/>
      <w:bookmarkStart w:id="141" w:name="_Toc11176"/>
      <w:r>
        <w:rPr>
          <w:rFonts w:hint="eastAsia" w:ascii="宋体-方正超大字符集" w:hAnsi="Times New Roman" w:eastAsia="宋体-方正超大字符集"/>
          <w:color w:val="auto"/>
          <w:sz w:val="32"/>
        </w:rPr>
        <w:t>概念</w:t>
      </w:r>
      <w:bookmarkEnd w:id="112"/>
      <w:bookmarkEnd w:id="113"/>
      <w:bookmarkEnd w:id="114"/>
      <w:bookmarkEnd w:id="115"/>
      <w:bookmarkEnd w:id="116"/>
      <w:bookmarkEnd w:id="117"/>
      <w:bookmarkEnd w:id="118"/>
      <w:bookmarkEnd w:id="119"/>
      <w:r>
        <w:rPr>
          <w:rFonts w:hint="eastAsia" w:ascii="宋体-方正超大字符集" w:hAnsi="Times New Roman" w:eastAsia="宋体-方正超大字符集"/>
          <w:color w:val="auto"/>
          <w:sz w:val="32"/>
        </w:rPr>
        <w:t>释义</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numPr>
          <w:ilvl w:val="0"/>
          <w:numId w:val="10"/>
        </w:numPr>
        <w:adjustRightInd w:val="0"/>
        <w:snapToGrid w:val="0"/>
        <w:spacing w:line="360" w:lineRule="auto"/>
        <w:rPr>
          <w:b/>
          <w:sz w:val="24"/>
        </w:rPr>
      </w:pPr>
      <w:bookmarkStart w:id="142" w:name="_Toc159385047"/>
      <w:bookmarkStart w:id="143" w:name="_Toc136662912"/>
      <w:bookmarkStart w:id="144" w:name="_Toc136682888"/>
      <w:bookmarkStart w:id="145" w:name="_Toc119321123"/>
      <w:r>
        <w:rPr>
          <w:rFonts w:hint="eastAsia"/>
          <w:b/>
          <w:sz w:val="24"/>
        </w:rPr>
        <w:t>采购适用法律</w:t>
      </w:r>
      <w:bookmarkEnd w:id="142"/>
      <w:bookmarkEnd w:id="143"/>
      <w:bookmarkEnd w:id="144"/>
      <w:bookmarkEnd w:id="145"/>
    </w:p>
    <w:p>
      <w:pPr>
        <w:numPr>
          <w:ilvl w:val="1"/>
          <w:numId w:val="10"/>
        </w:numPr>
        <w:adjustRightInd w:val="0"/>
        <w:snapToGrid w:val="0"/>
        <w:spacing w:line="360" w:lineRule="auto"/>
      </w:pPr>
      <w:r>
        <w:rPr>
          <w:rFonts w:hint="eastAsia"/>
        </w:rPr>
        <w:t>本次采购</w:t>
      </w:r>
      <w:r>
        <w:rPr>
          <w:rFonts w:hint="eastAsia"/>
          <w:lang w:val="en-US" w:eastAsia="zh-CN"/>
        </w:rPr>
        <w:t>参照</w:t>
      </w:r>
      <w:r>
        <w:rPr>
          <w:rFonts w:hint="eastAsia"/>
        </w:rPr>
        <w:t>的主要法律法规为《中华人民共和国政府采购法》、《政府采购竞争性磋商采购方式管理暂行办法》、《广东省实施＜中华人民共和国政府采购法＞办法》及政府采购其它相关法规。</w:t>
      </w:r>
    </w:p>
    <w:p>
      <w:pPr>
        <w:numPr>
          <w:ilvl w:val="0"/>
          <w:numId w:val="10"/>
        </w:numPr>
        <w:adjustRightInd w:val="0"/>
        <w:snapToGrid w:val="0"/>
        <w:spacing w:line="360" w:lineRule="auto"/>
        <w:rPr>
          <w:b/>
          <w:sz w:val="24"/>
        </w:rPr>
      </w:pPr>
      <w:bookmarkStart w:id="146" w:name="_Toc119321124"/>
      <w:bookmarkStart w:id="147" w:name="_Toc136662913"/>
      <w:bookmarkStart w:id="148" w:name="_Toc136682889"/>
      <w:bookmarkStart w:id="149" w:name="_Toc159385048"/>
      <w:r>
        <w:rPr>
          <w:rFonts w:hint="eastAsia"/>
          <w:b/>
          <w:sz w:val="24"/>
        </w:rPr>
        <w:t>释义</w:t>
      </w:r>
      <w:bookmarkEnd w:id="146"/>
      <w:bookmarkEnd w:id="147"/>
      <w:bookmarkEnd w:id="148"/>
      <w:bookmarkEnd w:id="149"/>
    </w:p>
    <w:p>
      <w:pPr>
        <w:numPr>
          <w:ilvl w:val="1"/>
          <w:numId w:val="10"/>
        </w:numPr>
        <w:adjustRightInd w:val="0"/>
        <w:snapToGrid w:val="0"/>
        <w:spacing w:line="360" w:lineRule="auto"/>
      </w:pPr>
      <w:r>
        <w:rPr>
          <w:rFonts w:hint="eastAsia"/>
        </w:rPr>
        <w:t>政府采购的政策目标：</w:t>
      </w:r>
      <w:r>
        <w:rPr>
          <w:rFonts w:hint="eastAsia" w:ascii="仿宋_GB2312"/>
          <w:bCs/>
          <w:szCs w:val="32"/>
        </w:rPr>
        <w:t>政府采购应当</w:t>
      </w:r>
      <w:r>
        <w:rPr>
          <w:rFonts w:hint="eastAsia" w:ascii="仿宋_GB2312"/>
          <w:szCs w:val="32"/>
        </w:rPr>
        <w:t>有助于实现</w:t>
      </w:r>
      <w:r>
        <w:rPr>
          <w:rFonts w:hint="eastAsia" w:ascii="仿宋_GB2312"/>
          <w:bCs/>
          <w:szCs w:val="32"/>
        </w:rPr>
        <w:t>保护环境</w:t>
      </w:r>
      <w:r>
        <w:rPr>
          <w:rFonts w:hint="eastAsia" w:ascii="仿宋_GB2312"/>
          <w:szCs w:val="32"/>
        </w:rPr>
        <w:t>、</w:t>
      </w:r>
      <w:r>
        <w:rPr>
          <w:rFonts w:hint="eastAsia" w:ascii="仿宋_GB2312"/>
          <w:bCs/>
          <w:szCs w:val="32"/>
        </w:rPr>
        <w:t>节能减排</w:t>
      </w:r>
      <w:r>
        <w:rPr>
          <w:rFonts w:hint="eastAsia" w:ascii="仿宋_GB2312"/>
          <w:szCs w:val="32"/>
        </w:rPr>
        <w:t>、</w:t>
      </w:r>
      <w:r>
        <w:rPr>
          <w:rFonts w:hint="eastAsia" w:ascii="仿宋_GB2312"/>
          <w:bCs/>
          <w:szCs w:val="32"/>
        </w:rPr>
        <w:t>支持自主创新</w:t>
      </w:r>
      <w:r>
        <w:rPr>
          <w:rFonts w:hint="eastAsia" w:ascii="仿宋_GB2312"/>
          <w:szCs w:val="32"/>
        </w:rPr>
        <w:t>、</w:t>
      </w:r>
      <w:r>
        <w:rPr>
          <w:rFonts w:hint="eastAsia" w:ascii="仿宋_GB2312"/>
          <w:bCs/>
          <w:szCs w:val="32"/>
        </w:rPr>
        <w:t>扶持不发达地区和少数民族地区</w:t>
      </w:r>
      <w:r>
        <w:rPr>
          <w:rFonts w:hint="eastAsia" w:ascii="仿宋_GB2312"/>
          <w:szCs w:val="32"/>
        </w:rPr>
        <w:t>、</w:t>
      </w:r>
      <w:r>
        <w:rPr>
          <w:rFonts w:hint="eastAsia" w:ascii="仿宋_GB2312"/>
          <w:bCs/>
          <w:szCs w:val="32"/>
        </w:rPr>
        <w:t>促进中小企业发展等</w:t>
      </w:r>
      <w:r>
        <w:rPr>
          <w:rFonts w:hint="eastAsia" w:ascii="仿宋_GB2312"/>
          <w:szCs w:val="32"/>
        </w:rPr>
        <w:t>国家的经济和社会发展政策目标。</w:t>
      </w:r>
    </w:p>
    <w:p>
      <w:pPr>
        <w:numPr>
          <w:ilvl w:val="1"/>
          <w:numId w:val="10"/>
        </w:numPr>
        <w:adjustRightInd w:val="0"/>
        <w:snapToGrid w:val="0"/>
        <w:spacing w:line="360" w:lineRule="auto"/>
      </w:pPr>
      <w:r>
        <w:rPr>
          <w:rFonts w:hint="eastAsia"/>
        </w:rPr>
        <w:t>采购人：是指</w:t>
      </w:r>
      <w:r>
        <w:rPr>
          <w:rFonts w:hint="eastAsia"/>
          <w:b/>
          <w:bCs/>
          <w:lang w:eastAsia="zh-CN"/>
        </w:rPr>
        <w:t>佛山市公安局</w:t>
      </w:r>
      <w:r>
        <w:rPr>
          <w:rFonts w:hint="eastAsia"/>
        </w:rPr>
        <w:t>。为采购活动当事人之一，负责项目的整体规划、技术方案可行性设计论证与实施，作为合同采购人(用户)的主体承担质疑回复、履行合同义务、验收与评价等义务。</w:t>
      </w:r>
    </w:p>
    <w:p>
      <w:pPr>
        <w:numPr>
          <w:ilvl w:val="1"/>
          <w:numId w:val="10"/>
        </w:numPr>
        <w:adjustRightInd w:val="0"/>
        <w:snapToGrid w:val="0"/>
        <w:spacing w:line="360" w:lineRule="auto"/>
      </w:pPr>
      <w:bookmarkStart w:id="150" w:name="_Toc159385049"/>
      <w:bookmarkStart w:id="151" w:name="_Toc119321125"/>
      <w:bookmarkStart w:id="152" w:name="_Toc136662914"/>
      <w:bookmarkStart w:id="153" w:name="_Toc136682890"/>
      <w:r>
        <w:rPr>
          <w:rFonts w:hint="eastAsia"/>
        </w:rPr>
        <w:t>采购代理机构：是指</w:t>
      </w:r>
      <w:r>
        <w:rPr>
          <w:rFonts w:hint="eastAsia"/>
          <w:b/>
          <w:bCs/>
          <w:lang w:eastAsia="zh-CN"/>
        </w:rPr>
        <w:t>广东远东招标代理有限公司</w:t>
      </w:r>
      <w:r>
        <w:rPr>
          <w:rFonts w:hint="eastAsia"/>
        </w:rPr>
        <w:t>，是整个采购活动的组织者，依法负责编制和发布采购文件，对采购文件拥有最终的解释权。采购代理机构不以任何身份出任磋商小组成员。</w:t>
      </w:r>
    </w:p>
    <w:p>
      <w:pPr>
        <w:numPr>
          <w:ilvl w:val="1"/>
          <w:numId w:val="10"/>
        </w:numPr>
        <w:adjustRightInd w:val="0"/>
        <w:snapToGrid w:val="0"/>
        <w:spacing w:line="360" w:lineRule="auto"/>
      </w:pPr>
      <w:r>
        <w:rPr>
          <w:rFonts w:hint="eastAsia"/>
        </w:rPr>
        <w:t>佛山市：是指包括禅城区、顺德区、南海区、高明区、三水区共五个行政辖区。</w:t>
      </w:r>
    </w:p>
    <w:p>
      <w:pPr>
        <w:numPr>
          <w:ilvl w:val="1"/>
          <w:numId w:val="10"/>
        </w:numPr>
        <w:adjustRightInd w:val="0"/>
        <w:snapToGrid w:val="0"/>
        <w:spacing w:line="360" w:lineRule="auto"/>
      </w:pPr>
      <w:r>
        <w:rPr>
          <w:rFonts w:hint="eastAsia"/>
        </w:rPr>
        <w:t>采购文件：是指包括项目公告、竞争性磋商文件以及竞争性磋商文件的补充、变更和澄清等一系列文件。</w:t>
      </w:r>
    </w:p>
    <w:p>
      <w:pPr>
        <w:numPr>
          <w:ilvl w:val="1"/>
          <w:numId w:val="10"/>
        </w:numPr>
        <w:adjustRightInd w:val="0"/>
        <w:snapToGrid w:val="0"/>
        <w:spacing w:line="360" w:lineRule="auto"/>
      </w:pPr>
      <w:r>
        <w:rPr>
          <w:rFonts w:hint="eastAsia"/>
        </w:rPr>
        <w:t>采购过程：是指从采购项目信息公告发布起，到成交结果公告止，包括采购文件的发布、磋商与报价、评审、澄清等各个程序环节。</w:t>
      </w:r>
    </w:p>
    <w:p>
      <w:pPr>
        <w:numPr>
          <w:ilvl w:val="1"/>
          <w:numId w:val="10"/>
        </w:numPr>
        <w:adjustRightInd w:val="0"/>
        <w:snapToGrid w:val="0"/>
        <w:spacing w:line="360" w:lineRule="auto"/>
      </w:pPr>
      <w:r>
        <w:rPr>
          <w:rFonts w:hint="eastAsia"/>
        </w:rPr>
        <w:t>实质性响应：是指符合采购文件的关键性和重要要求、条款、条件、规定，且没有不利于项目实施质量效果和服务保障的重大偏离或保留。实质性条款包括但不限于本文件涉及的“质保期、完工期、付款方式、预算金额”及其它带</w:t>
      </w:r>
      <w:r>
        <w:rPr>
          <w:rFonts w:hint="eastAsia" w:ascii="宋体" w:hAnsi="宋体"/>
        </w:rPr>
        <w:t>“★</w:t>
      </w:r>
      <w:r>
        <w:rPr>
          <w:rFonts w:hint="eastAsia"/>
        </w:rPr>
        <w:t>”标注的强制响应条款。</w:t>
      </w:r>
    </w:p>
    <w:p>
      <w:pPr>
        <w:numPr>
          <w:ilvl w:val="1"/>
          <w:numId w:val="10"/>
        </w:numPr>
        <w:adjustRightInd w:val="0"/>
        <w:snapToGrid w:val="0"/>
        <w:spacing w:line="360" w:lineRule="auto"/>
      </w:pPr>
      <w:r>
        <w:rPr>
          <w:rFonts w:hint="eastAsia"/>
        </w:rPr>
        <w:t>重大偏离或保留：是指影响到采购文件规定的范围、质量和性能或限制了采购人的权力和参与磋商与报价供应商义务的规定，而调整纠正这些偏离将直接影响到其它参与磋商与报价供应商的公平竞争地位。</w:t>
      </w:r>
    </w:p>
    <w:p>
      <w:pPr>
        <w:numPr>
          <w:ilvl w:val="1"/>
          <w:numId w:val="10"/>
        </w:numPr>
        <w:adjustRightInd w:val="0"/>
        <w:snapToGrid w:val="0"/>
        <w:spacing w:line="360" w:lineRule="auto"/>
      </w:pPr>
      <w:r>
        <w:rPr>
          <w:rFonts w:hint="eastAsia"/>
        </w:rPr>
        <w:t>轻微偏离: 是指响应文件能够实质上响应采购文件要求，但在个别地方存在漏项或者提供了不完整的信息和数据等情况，并且补正这些遗漏或者不完整不会对其他参与磋商与报价的供应商造成不公平的结果。它包括负偏离（劣于）和正偏离(优于)。</w:t>
      </w:r>
    </w:p>
    <w:p>
      <w:pPr>
        <w:numPr>
          <w:ilvl w:val="1"/>
          <w:numId w:val="10"/>
        </w:numPr>
        <w:adjustRightInd w:val="0"/>
        <w:snapToGrid w:val="0"/>
        <w:spacing w:line="360" w:lineRule="auto"/>
      </w:pPr>
      <w:r>
        <w:rPr>
          <w:rFonts w:hint="eastAsia"/>
        </w:rPr>
        <w:t>中小企业：依据《政府采购促进中小企业发展管理办法》（财库〔2020〕46号），包含中型、小型、微型企业，具体标准依据工信部联企业〔2011〕300号文件进行划分。</w:t>
      </w:r>
    </w:p>
    <w:p>
      <w:pPr>
        <w:numPr>
          <w:ilvl w:val="1"/>
          <w:numId w:val="10"/>
        </w:numPr>
        <w:adjustRightInd w:val="0"/>
        <w:snapToGrid w:val="0"/>
        <w:spacing w:line="360" w:lineRule="auto"/>
      </w:pPr>
      <w:r>
        <w:rPr>
          <w:rFonts w:hint="eastAsia"/>
        </w:rPr>
        <w:t>日期、天数、时间：未有特别说明时，均为公历日（天）及北京时间。</w:t>
      </w:r>
    </w:p>
    <w:p>
      <w:pPr>
        <w:numPr>
          <w:ilvl w:val="0"/>
          <w:numId w:val="10"/>
        </w:numPr>
        <w:adjustRightInd w:val="0"/>
        <w:snapToGrid w:val="0"/>
        <w:spacing w:line="360" w:lineRule="auto"/>
        <w:rPr>
          <w:b/>
          <w:sz w:val="24"/>
        </w:rPr>
      </w:pPr>
      <w:r>
        <w:rPr>
          <w:rFonts w:hint="eastAsia"/>
          <w:b/>
          <w:sz w:val="24"/>
        </w:rPr>
        <w:t>合格的供应商、合格的产品和服务</w:t>
      </w:r>
      <w:bookmarkEnd w:id="150"/>
      <w:bookmarkEnd w:id="151"/>
      <w:bookmarkEnd w:id="152"/>
      <w:bookmarkEnd w:id="153"/>
    </w:p>
    <w:p>
      <w:pPr>
        <w:numPr>
          <w:ilvl w:val="1"/>
          <w:numId w:val="10"/>
        </w:numPr>
        <w:adjustRightInd w:val="0"/>
        <w:snapToGrid w:val="0"/>
        <w:spacing w:line="360" w:lineRule="auto"/>
      </w:pPr>
      <w:bookmarkStart w:id="154" w:name="OLE_LINK1"/>
      <w:r>
        <w:rPr>
          <w:rFonts w:hint="eastAsia"/>
        </w:rPr>
        <w:t>根据《中华人民共和国政府采购法》第二十二条的要求，供应商参加政府采购活动应当具备下列条件：①具有独立承担民事责任的能力；②具有良好的商业信誉和健全的财务会计制度；③具有履行合同所必需的设备和专业技术能力；④具有依法缴纳税收和社会保障资金的良好记录；⑤参加本次政府采购活动前三年内，在经营活动中没有重大违法记录；⑥法律、行政法规规定的其他条件。</w:t>
      </w:r>
    </w:p>
    <w:p>
      <w:pPr>
        <w:numPr>
          <w:ilvl w:val="1"/>
          <w:numId w:val="10"/>
        </w:numPr>
        <w:adjustRightInd w:val="0"/>
        <w:snapToGrid w:val="0"/>
        <w:spacing w:line="360" w:lineRule="auto"/>
      </w:pPr>
      <w:r>
        <w:rPr>
          <w:rFonts w:hint="eastAsia"/>
        </w:rPr>
        <w:t>供应商在参加政府采购活动前三年内，在经营活动中没有重大违法记录。重大违法记录</w:t>
      </w:r>
      <w:r>
        <w:rPr>
          <w:rFonts w:hint="eastAsia"/>
          <w:lang w:eastAsia="zh-CN"/>
        </w:rPr>
        <w:t>，</w:t>
      </w:r>
      <w:r>
        <w:rPr>
          <w:rFonts w:hint="eastAsia"/>
        </w:rPr>
        <w:t>是指供应商因违法经营受到刑事处罚或者责令停产停业、吊销许可证或者执照、较大数额罚款等行政处罚（根据财库〔2022〕3号文，“较大数额罚款”认定为200万以上的罚款，法律、行政法规以及国务院有关部门明确规定相关领域“较大数额罚款”标准高于200万元的，从其规定</w:t>
      </w:r>
      <w:r>
        <w:rPr>
          <w:rFonts w:hint="eastAsia"/>
          <w:lang w:eastAsia="zh-CN"/>
        </w:rPr>
        <w:t>。</w:t>
      </w:r>
      <w:r>
        <w:rPr>
          <w:rFonts w:hint="eastAsia"/>
        </w:rPr>
        <w:t>）。供应商在参加政府采购活动前</w:t>
      </w:r>
      <w:r>
        <w:t>3</w:t>
      </w:r>
      <w:r>
        <w:rPr>
          <w:rFonts w:hint="eastAsia"/>
        </w:rPr>
        <w:t>年内因违法经营被禁止在一定期限内参加政府采购活动，期限届满的，可以参加政府采购活动。</w:t>
      </w:r>
    </w:p>
    <w:p>
      <w:pPr>
        <w:numPr>
          <w:ilvl w:val="1"/>
          <w:numId w:val="10"/>
        </w:numPr>
        <w:adjustRightInd w:val="0"/>
        <w:snapToGrid w:val="0"/>
        <w:spacing w:line="360" w:lineRule="auto"/>
      </w:pPr>
      <w:r>
        <w:rPr>
          <w:rFonts w:hint="eastAsia"/>
        </w:rPr>
        <w:t>参与磋商与报价的供应商须在中国大陆境内经政府行业主管部门合法注册登记，符合政府采购法律、法规规定的必备条件，于本文件指定时效内均能满足响应资格及相关重要要求。</w:t>
      </w:r>
    </w:p>
    <w:p>
      <w:pPr>
        <w:numPr>
          <w:ilvl w:val="1"/>
          <w:numId w:val="10"/>
        </w:numPr>
        <w:adjustRightInd w:val="0"/>
        <w:snapToGrid w:val="0"/>
        <w:spacing w:line="360" w:lineRule="auto"/>
      </w:pPr>
      <w:r>
        <w:rPr>
          <w:rFonts w:hint="eastAsia"/>
        </w:rPr>
        <w:t>根据财库2007[119]号文与财办库2008[248]号文关于政府采购进口产品管理的有关规定，未经核准同意，供应商参与磋商与报价时必须提供本国产品，供应商以进口产品参与磋商与报价的，将作无效响应处理。</w:t>
      </w:r>
    </w:p>
    <w:p>
      <w:pPr>
        <w:numPr>
          <w:ilvl w:val="1"/>
          <w:numId w:val="10"/>
        </w:numPr>
        <w:adjustRightInd w:val="0"/>
        <w:snapToGrid w:val="0"/>
        <w:spacing w:line="360" w:lineRule="auto"/>
      </w:pPr>
      <w:r>
        <w:rPr>
          <w:rFonts w:hint="eastAsia"/>
        </w:rPr>
        <w:t>中小企业须符合财库[2020]46号和工信部联企业〔2011〕300号文件关于中型、小型、微型企业的要求，且</w:t>
      </w:r>
      <w:r>
        <w:t>提供本企业制造的货物、承担的工程或者服务，或者提供其他中小企业制造的货物</w:t>
      </w:r>
      <w:r>
        <w:rPr>
          <w:rFonts w:hint="eastAsia"/>
        </w:rPr>
        <w:t>，但</w:t>
      </w:r>
      <w:r>
        <w:t>不包括使用大型企业注册商标的货物</w:t>
      </w:r>
      <w:r>
        <w:rPr>
          <w:spacing w:val="7"/>
        </w:rPr>
        <w:t>。</w:t>
      </w:r>
    </w:p>
    <w:p>
      <w:pPr>
        <w:numPr>
          <w:ilvl w:val="1"/>
          <w:numId w:val="10"/>
        </w:numPr>
        <w:adjustRightInd w:val="0"/>
        <w:snapToGrid w:val="0"/>
        <w:spacing w:line="360" w:lineRule="auto"/>
      </w:pPr>
      <w:r>
        <w:rPr>
          <w:rFonts w:hint="eastAsia"/>
        </w:rPr>
        <w:t>采购代理机构对领取采购文件的供应商进行报名登记备案，供应商经报名登记备案及递交响应文件后即成为合法的参与本项目磋商与报价的供应商。</w:t>
      </w:r>
    </w:p>
    <w:p>
      <w:pPr>
        <w:numPr>
          <w:ilvl w:val="1"/>
          <w:numId w:val="10"/>
        </w:numPr>
        <w:adjustRightInd w:val="0"/>
        <w:snapToGrid w:val="0"/>
        <w:spacing w:line="360" w:lineRule="auto"/>
      </w:pPr>
      <w:r>
        <w:rPr>
          <w:rFonts w:hint="eastAsia"/>
        </w:rPr>
        <w:t>参与磋商与报价的供应商应保证提交的资料合法真实且准确有效，如发现自身资料被盗用或复制，应遵循法律途径解决，追究侵权者责任。对同一家供应商递交两份响应文件或同一份响应文件中出现多家参与磋商与报价的供应商名称的，磋商小组将按采购文件中有关无效报价的规定处理。</w:t>
      </w:r>
      <w:bookmarkEnd w:id="154"/>
    </w:p>
    <w:p>
      <w:pPr>
        <w:numPr>
          <w:ilvl w:val="1"/>
          <w:numId w:val="10"/>
        </w:numPr>
        <w:adjustRightInd w:val="0"/>
        <w:snapToGrid w:val="0"/>
        <w:spacing w:line="360" w:lineRule="auto"/>
      </w:pPr>
      <w:r>
        <w:rPr>
          <w:rFonts w:hint="eastAsia"/>
        </w:rPr>
        <w:t>所有涉及知识产权的产品及设计，供应商必须确保采购人拥有其合法的、不受限制的无偿使用权，并免受任何侵权诉讼或索偿，否则，由此产生的一切经济损失和法律责任由供应商承担。</w:t>
      </w:r>
    </w:p>
    <w:p>
      <w:pPr>
        <w:numPr>
          <w:ilvl w:val="1"/>
          <w:numId w:val="10"/>
        </w:numPr>
        <w:adjustRightInd w:val="0"/>
        <w:snapToGrid w:val="0"/>
        <w:spacing w:line="360" w:lineRule="auto"/>
      </w:pPr>
      <w:r>
        <w:rPr>
          <w:rFonts w:hint="eastAsia"/>
        </w:rPr>
        <w:t>供应商获取了本采购文件并非意味着满足了合格、有效供应商的基本条件，一切均以磋商小组共同评定确认的结果为准。</w:t>
      </w:r>
    </w:p>
    <w:p>
      <w:pPr>
        <w:numPr>
          <w:ilvl w:val="1"/>
          <w:numId w:val="10"/>
        </w:numPr>
        <w:adjustRightInd w:val="0"/>
        <w:snapToGrid w:val="0"/>
        <w:spacing w:line="360" w:lineRule="auto"/>
        <w:rPr>
          <w:sz w:val="24"/>
        </w:rPr>
      </w:pPr>
      <w:r>
        <w:rPr>
          <w:rFonts w:hint="eastAsia"/>
        </w:rPr>
        <w:t>不合格的供应商参与本项目的报价可认定为无效报价行为，对其提供的货物、工程和伴随服务，采购人拒绝为其承担任何责任义务，且不予支付任何费用。</w:t>
      </w:r>
    </w:p>
    <w:p>
      <w:pPr>
        <w:pStyle w:val="3"/>
        <w:pageBreakBefore/>
        <w:numPr>
          <w:ilvl w:val="0"/>
          <w:numId w:val="6"/>
        </w:numPr>
        <w:snapToGrid w:val="0"/>
        <w:ind w:left="575" w:hanging="575" w:hangingChars="179"/>
        <w:rPr>
          <w:rFonts w:ascii="宋体-方正超大字符集" w:hAnsi="Times New Roman" w:eastAsia="宋体-方正超大字符集"/>
          <w:color w:val="auto"/>
          <w:sz w:val="32"/>
        </w:rPr>
      </w:pPr>
      <w:bookmarkStart w:id="155" w:name="_招标文件说明"/>
      <w:bookmarkEnd w:id="155"/>
      <w:bookmarkStart w:id="156" w:name="_Toc49329254"/>
      <w:bookmarkStart w:id="157" w:name="_Toc5578663"/>
      <w:bookmarkStart w:id="158" w:name="_Toc32517"/>
      <w:bookmarkStart w:id="159" w:name="_Toc310519879"/>
      <w:bookmarkStart w:id="160" w:name="_Toc15883"/>
      <w:bookmarkStart w:id="161" w:name="_Toc20843"/>
      <w:bookmarkStart w:id="162" w:name="_Toc11044"/>
      <w:bookmarkStart w:id="163" w:name="_Toc27277"/>
      <w:bookmarkStart w:id="164" w:name="_Toc113157422"/>
      <w:bookmarkStart w:id="165" w:name="_Toc16458"/>
      <w:bookmarkStart w:id="166" w:name="_Toc25865"/>
      <w:bookmarkStart w:id="167" w:name="_Toc32637"/>
      <w:bookmarkStart w:id="168" w:name="_Toc20564607"/>
      <w:bookmarkStart w:id="169" w:name="_Toc14612"/>
      <w:bookmarkStart w:id="170" w:name="_Toc20144973"/>
      <w:bookmarkStart w:id="171" w:name="_Toc27921"/>
      <w:bookmarkStart w:id="172" w:name="_Toc23182"/>
      <w:bookmarkStart w:id="173" w:name="_Toc525312044"/>
      <w:bookmarkStart w:id="174" w:name="_Toc2390"/>
      <w:bookmarkStart w:id="175" w:name="_Toc5575600"/>
      <w:bookmarkStart w:id="176" w:name="_Toc18590"/>
      <w:bookmarkStart w:id="177" w:name="_Toc2904"/>
      <w:bookmarkStart w:id="178" w:name="_Toc55812445"/>
      <w:bookmarkStart w:id="179" w:name="_Toc259803662"/>
      <w:bookmarkStart w:id="180" w:name="_Toc1803"/>
      <w:bookmarkStart w:id="181" w:name="_Toc20571353"/>
      <w:bookmarkStart w:id="182" w:name="_Toc373767192"/>
      <w:bookmarkStart w:id="183" w:name="_Toc325031935"/>
      <w:bookmarkStart w:id="184" w:name="_Toc419106556"/>
      <w:bookmarkStart w:id="185" w:name="_Toc20564519"/>
      <w:r>
        <w:rPr>
          <w:rFonts w:hint="eastAsia" w:ascii="宋体-方正超大字符集" w:hAnsi="Times New Roman" w:eastAsia="宋体-方正超大字符集"/>
          <w:color w:val="auto"/>
          <w:sz w:val="32"/>
        </w:rPr>
        <w:t>采购文件说明</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numPr>
          <w:ilvl w:val="0"/>
          <w:numId w:val="10"/>
        </w:numPr>
        <w:adjustRightInd w:val="0"/>
        <w:snapToGrid w:val="0"/>
        <w:spacing w:line="360" w:lineRule="auto"/>
        <w:rPr>
          <w:b/>
          <w:sz w:val="24"/>
        </w:rPr>
      </w:pPr>
      <w:r>
        <w:rPr>
          <w:rFonts w:hint="eastAsia"/>
          <w:b/>
          <w:sz w:val="24"/>
        </w:rPr>
        <w:t>采购文件说明</w:t>
      </w:r>
    </w:p>
    <w:p>
      <w:pPr>
        <w:numPr>
          <w:ilvl w:val="1"/>
          <w:numId w:val="10"/>
        </w:numPr>
        <w:adjustRightInd w:val="0"/>
        <w:snapToGrid w:val="0"/>
        <w:spacing w:line="360" w:lineRule="auto"/>
      </w:pPr>
      <w:bookmarkStart w:id="186" w:name="_Toc55812447"/>
      <w:bookmarkStart w:id="187" w:name="_Toc49329256"/>
      <w:r>
        <w:rPr>
          <w:rFonts w:hint="eastAsia"/>
        </w:rPr>
        <w:t>本文件是采购人阐明所实施的采购项目内容、响应规约等综合性文件，采购文件、响应文件、评审结果、合同书和相关承诺确认文件，均作为约束当事人行为的重要标准，各方当事人均应以最基本的职业道德和商业诚信履行自己应尽的责任义务。</w:t>
      </w:r>
    </w:p>
    <w:p>
      <w:pPr>
        <w:numPr>
          <w:ilvl w:val="1"/>
          <w:numId w:val="10"/>
        </w:numPr>
        <w:adjustRightInd w:val="0"/>
        <w:snapToGrid w:val="0"/>
        <w:spacing w:line="360" w:lineRule="auto"/>
      </w:pPr>
      <w:r>
        <w:rPr>
          <w:rFonts w:hint="eastAsia"/>
        </w:rPr>
        <w:t>本文件的专业服务内容如涉及到有官方强制性要求或行业标准规范限制和禁止性内容时，应以官方强制性要求或行业标准规范为准；否则，以本采购文件约定的技术要求为准。</w:t>
      </w:r>
    </w:p>
    <w:p>
      <w:pPr>
        <w:numPr>
          <w:ilvl w:val="1"/>
          <w:numId w:val="10"/>
        </w:numPr>
        <w:adjustRightInd w:val="0"/>
        <w:snapToGrid w:val="0"/>
        <w:spacing w:line="360" w:lineRule="auto"/>
      </w:pPr>
      <w:r>
        <w:rPr>
          <w:rFonts w:hint="eastAsia"/>
        </w:rPr>
        <w:t>本文件由电子文档制作，它由：</w:t>
      </w:r>
      <w:r>
        <w:rPr>
          <w:rFonts w:hint="eastAsia"/>
          <w:lang w:eastAsia="zh-CN"/>
        </w:rPr>
        <w:t>响应</w:t>
      </w:r>
      <w:r>
        <w:rPr>
          <w:rFonts w:hint="eastAsia"/>
        </w:rPr>
        <w:t>邀请函、采购项目</w:t>
      </w:r>
      <w:r>
        <w:rPr>
          <w:rFonts w:hint="eastAsia"/>
          <w:lang w:eastAsia="zh-CN"/>
        </w:rPr>
        <w:t>内容</w:t>
      </w:r>
      <w:r>
        <w:rPr>
          <w:rFonts w:hint="eastAsia"/>
        </w:rPr>
        <w:t>、供应商须知、合同书范本、响应文件格式共五部分组成。</w:t>
      </w:r>
    </w:p>
    <w:p>
      <w:pPr>
        <w:numPr>
          <w:ilvl w:val="1"/>
          <w:numId w:val="10"/>
        </w:numPr>
        <w:adjustRightInd w:val="0"/>
        <w:snapToGrid w:val="0"/>
        <w:spacing w:line="360" w:lineRule="auto"/>
      </w:pPr>
      <w:r>
        <w:rPr>
          <w:rFonts w:hint="eastAsia"/>
          <w:b/>
          <w:bCs/>
        </w:rPr>
        <w:t>采购文件中重复描述的内容出现不一致时，均以文件中首次对该内容描述为准。</w:t>
      </w:r>
    </w:p>
    <w:p>
      <w:pPr>
        <w:numPr>
          <w:ilvl w:val="1"/>
          <w:numId w:val="10"/>
        </w:numPr>
        <w:adjustRightInd w:val="0"/>
        <w:snapToGrid w:val="0"/>
        <w:spacing w:line="360" w:lineRule="auto"/>
      </w:pPr>
      <w:r>
        <w:rPr>
          <w:rFonts w:hint="eastAsia"/>
        </w:rPr>
        <w:t>供应商必须认真阅读理解本采购文件的各项要求，如有任何疑问经向采购人咨询后仍无法解决，应最迟在提交首次响应文件截止之日前5天，以书面形式【</w:t>
      </w:r>
      <w:r>
        <w:t>包括信函或传真等（应加盖公章），下同</w:t>
      </w:r>
      <w:r>
        <w:rPr>
          <w:rFonts w:hint="eastAsia"/>
        </w:rPr>
        <w:t>】向采购代理机构提出澄清要求，采购代理机构均将以书面形式及时予以回复。</w:t>
      </w:r>
    </w:p>
    <w:p>
      <w:pPr>
        <w:numPr>
          <w:ilvl w:val="1"/>
          <w:numId w:val="10"/>
        </w:numPr>
        <w:adjustRightInd w:val="0"/>
        <w:snapToGrid w:val="0"/>
        <w:spacing w:line="360" w:lineRule="auto"/>
      </w:pPr>
      <w:r>
        <w:rPr>
          <w:rFonts w:hint="eastAsia"/>
        </w:rPr>
        <w:t>采购代理机构在采购过程中，均有权要求参与磋商与报价的供应商或相关当事人就本项目的内容按时提交澄清说明或补充材料等，被通知的当事人须认真予以配合。</w:t>
      </w:r>
    </w:p>
    <w:p>
      <w:pPr>
        <w:numPr>
          <w:ilvl w:val="1"/>
          <w:numId w:val="10"/>
        </w:numPr>
        <w:adjustRightInd w:val="0"/>
        <w:snapToGrid w:val="0"/>
        <w:spacing w:line="360" w:lineRule="auto"/>
      </w:pPr>
      <w:r>
        <w:rPr>
          <w:rFonts w:hint="eastAsia"/>
        </w:rPr>
        <w:t>采购过程中的一切补充文件一经确认后与主体源文件均具有同等法律效力，确认方均视为知悉无疑并依照最后确认的文件执行。一切要约承诺未经合意缔约方同意不得擅自变更、撤销或转让。</w:t>
      </w:r>
    </w:p>
    <w:p>
      <w:pPr>
        <w:numPr>
          <w:ilvl w:val="1"/>
          <w:numId w:val="10"/>
        </w:numPr>
        <w:adjustRightInd w:val="0"/>
        <w:snapToGrid w:val="0"/>
        <w:spacing w:line="360" w:lineRule="auto"/>
      </w:pPr>
      <w:r>
        <w:rPr>
          <w:rFonts w:hint="eastAsia"/>
        </w:rPr>
        <w:t>对各类参数、条款事项成交注“★”号项为不可负偏离的重要参数要求，在磋商采购时须完全实质性响应，若其中一项出现负偏离时将作无效报价处理。</w:t>
      </w:r>
    </w:p>
    <w:p>
      <w:pPr>
        <w:numPr>
          <w:ilvl w:val="1"/>
          <w:numId w:val="10"/>
        </w:numPr>
        <w:adjustRightInd w:val="0"/>
        <w:snapToGrid w:val="0"/>
        <w:spacing w:line="360" w:lineRule="auto"/>
      </w:pPr>
      <w:r>
        <w:rPr>
          <w:rFonts w:hint="eastAsia"/>
        </w:rPr>
        <w:t>采购人在没有特别要求时，只允许参与磋商与报价的供应商提供唯一最具代表性和竞争力的报价方案，对提供含糊不清、不确定或可选的报价方案者均作无效报价处理。</w:t>
      </w:r>
    </w:p>
    <w:p>
      <w:pPr>
        <w:adjustRightInd w:val="0"/>
        <w:snapToGrid w:val="0"/>
        <w:spacing w:line="360" w:lineRule="auto"/>
        <w:rPr>
          <w:sz w:val="24"/>
        </w:rPr>
      </w:pPr>
      <w:r>
        <w:rPr>
          <w:sz w:val="24"/>
        </w:rPr>
        <w:br w:type="page"/>
      </w:r>
      <w:bookmarkEnd w:id="186"/>
      <w:bookmarkEnd w:id="187"/>
    </w:p>
    <w:p>
      <w:pPr>
        <w:pStyle w:val="3"/>
        <w:numPr>
          <w:ilvl w:val="0"/>
          <w:numId w:val="6"/>
        </w:numPr>
        <w:snapToGrid w:val="0"/>
        <w:ind w:left="575" w:hanging="575" w:hangingChars="179"/>
        <w:rPr>
          <w:rFonts w:ascii="宋体-方正超大字符集" w:hAnsi="Times New Roman" w:eastAsia="宋体-方正超大字符集"/>
          <w:color w:val="auto"/>
          <w:sz w:val="32"/>
        </w:rPr>
      </w:pPr>
      <w:bookmarkStart w:id="188" w:name="_Toc3002"/>
      <w:bookmarkStart w:id="189" w:name="_Toc373767193"/>
      <w:bookmarkStart w:id="190" w:name="_Toc13588"/>
      <w:bookmarkStart w:id="191" w:name="_Toc31701"/>
      <w:bookmarkStart w:id="192" w:name="_Toc11211"/>
      <w:bookmarkStart w:id="193" w:name="_Toc525312045"/>
      <w:bookmarkStart w:id="194" w:name="_Toc1218"/>
      <w:bookmarkStart w:id="195" w:name="_Toc30853"/>
      <w:bookmarkStart w:id="196" w:name="_Toc23388"/>
      <w:bookmarkStart w:id="197" w:name="_Toc419106557"/>
      <w:bookmarkStart w:id="198" w:name="_Toc6314"/>
      <w:bookmarkStart w:id="199" w:name="_Toc259803663"/>
      <w:bookmarkStart w:id="200" w:name="_Toc310519880"/>
      <w:bookmarkStart w:id="201" w:name="_Toc493"/>
      <w:bookmarkStart w:id="202" w:name="_Toc23768"/>
      <w:bookmarkStart w:id="203" w:name="_Toc10419"/>
      <w:bookmarkStart w:id="204" w:name="_Toc325031936"/>
      <w:bookmarkStart w:id="205" w:name="_Toc28297"/>
      <w:bookmarkStart w:id="206" w:name="_Toc13038"/>
      <w:bookmarkStart w:id="207" w:name="_Toc8576"/>
      <w:bookmarkStart w:id="208" w:name="_Toc22563"/>
      <w:r>
        <w:rPr>
          <w:rFonts w:hint="eastAsia" w:ascii="宋体-方正超大字符集" w:hAnsi="Times New Roman" w:eastAsia="宋体-方正超大字符集"/>
          <w:color w:val="auto"/>
          <w:sz w:val="32"/>
        </w:rPr>
        <w:t>响应文件说明</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numPr>
          <w:ilvl w:val="0"/>
          <w:numId w:val="10"/>
        </w:numPr>
        <w:adjustRightInd w:val="0"/>
        <w:snapToGrid w:val="0"/>
        <w:spacing w:line="360" w:lineRule="auto"/>
        <w:rPr>
          <w:b/>
          <w:sz w:val="24"/>
        </w:rPr>
      </w:pPr>
      <w:bookmarkStart w:id="209" w:name="_Toc20564523"/>
      <w:bookmarkStart w:id="210" w:name="_Toc20144977"/>
      <w:bookmarkStart w:id="211" w:name="_Toc5575604"/>
      <w:bookmarkStart w:id="212" w:name="_Toc119321128"/>
      <w:bookmarkStart w:id="213" w:name="_Toc136682893"/>
      <w:bookmarkStart w:id="214" w:name="_Toc159385052"/>
      <w:bookmarkStart w:id="215" w:name="_Toc5578667"/>
      <w:bookmarkStart w:id="216" w:name="_Toc20571357"/>
      <w:bookmarkStart w:id="217" w:name="_Toc20564611"/>
      <w:bookmarkStart w:id="218" w:name="_Toc136662917"/>
      <w:r>
        <w:rPr>
          <w:rFonts w:hint="eastAsia"/>
          <w:b/>
          <w:sz w:val="24"/>
        </w:rPr>
        <w:t>原则</w:t>
      </w:r>
      <w:bookmarkEnd w:id="209"/>
      <w:bookmarkEnd w:id="210"/>
      <w:bookmarkEnd w:id="211"/>
      <w:bookmarkEnd w:id="212"/>
      <w:bookmarkEnd w:id="213"/>
      <w:bookmarkEnd w:id="214"/>
      <w:bookmarkEnd w:id="215"/>
      <w:bookmarkEnd w:id="216"/>
      <w:bookmarkEnd w:id="217"/>
      <w:bookmarkEnd w:id="218"/>
    </w:p>
    <w:p>
      <w:pPr>
        <w:numPr>
          <w:ilvl w:val="1"/>
          <w:numId w:val="10"/>
        </w:numPr>
        <w:adjustRightInd w:val="0"/>
        <w:snapToGrid w:val="0"/>
        <w:spacing w:line="360" w:lineRule="auto"/>
      </w:pPr>
      <w:bookmarkStart w:id="219" w:name="_Toc119321129"/>
      <w:bookmarkStart w:id="220" w:name="_Toc159385053"/>
      <w:bookmarkStart w:id="221" w:name="_Toc136682894"/>
      <w:bookmarkStart w:id="222" w:name="_Toc136662918"/>
      <w:r>
        <w:rPr>
          <w:rFonts w:hint="eastAsia"/>
        </w:rPr>
        <w:t>响应文件应突出重点，精简扼要。所提供的资料必须符合诚实信用、客观真实的原则，对弄虚作假或违背诚信的违法行为，应承担相应的后果及法律责任。</w:t>
      </w:r>
    </w:p>
    <w:p>
      <w:pPr>
        <w:numPr>
          <w:ilvl w:val="1"/>
          <w:numId w:val="10"/>
        </w:numPr>
        <w:adjustRightInd w:val="0"/>
        <w:snapToGrid w:val="0"/>
        <w:spacing w:line="360" w:lineRule="auto"/>
      </w:pPr>
      <w:r>
        <w:rPr>
          <w:rFonts w:hint="eastAsia"/>
        </w:rPr>
        <w:t>无论采购结果如何，供应商自行承担因参加本次磋商而发生的一切费用。采购机构对参与磋商与报价的供应商及其他当事人不承担任何形式的赔偿或补偿。</w:t>
      </w:r>
    </w:p>
    <w:p>
      <w:pPr>
        <w:numPr>
          <w:ilvl w:val="0"/>
          <w:numId w:val="10"/>
        </w:numPr>
        <w:adjustRightInd w:val="0"/>
        <w:snapToGrid w:val="0"/>
        <w:spacing w:line="360" w:lineRule="auto"/>
        <w:rPr>
          <w:b/>
          <w:sz w:val="24"/>
        </w:rPr>
      </w:pPr>
      <w:r>
        <w:rPr>
          <w:rFonts w:hint="eastAsia"/>
          <w:b/>
          <w:sz w:val="24"/>
        </w:rPr>
        <w:t>响应文件的组成与制作要求</w:t>
      </w:r>
      <w:bookmarkEnd w:id="219"/>
      <w:bookmarkEnd w:id="220"/>
      <w:bookmarkEnd w:id="221"/>
      <w:bookmarkEnd w:id="222"/>
    </w:p>
    <w:p>
      <w:pPr>
        <w:numPr>
          <w:ilvl w:val="1"/>
          <w:numId w:val="10"/>
        </w:numPr>
        <w:adjustRightInd w:val="0"/>
        <w:snapToGrid w:val="0"/>
        <w:spacing w:line="360" w:lineRule="auto"/>
      </w:pPr>
      <w:bookmarkStart w:id="223" w:name="_Toc136682895"/>
      <w:bookmarkStart w:id="224" w:name="_Toc136662919"/>
      <w:bookmarkStart w:id="225" w:name="_Toc119321130"/>
      <w:bookmarkStart w:id="226" w:name="_Toc159385054"/>
      <w:r>
        <w:rPr>
          <w:rFonts w:hint="eastAsia"/>
        </w:rPr>
        <w:t>响应文件由资格性文件、评审内容索引、商务部分、技术部分、价格部分和其他文件共六部分组成，具体按采购文件中第五部分“响应文件格式”的要求以A4版面统一编制。</w:t>
      </w:r>
    </w:p>
    <w:p>
      <w:pPr>
        <w:numPr>
          <w:ilvl w:val="1"/>
          <w:numId w:val="10"/>
        </w:numPr>
        <w:adjustRightInd w:val="0"/>
        <w:snapToGrid w:val="0"/>
        <w:spacing w:line="360" w:lineRule="auto"/>
      </w:pPr>
      <w:r>
        <w:rPr>
          <w:rFonts w:hint="eastAsia"/>
        </w:rPr>
        <w:t>响应文件</w:t>
      </w:r>
      <w:r>
        <w:t>的制作、不同文字文本的释义均以简体中文文本为准，重要的外文资料须附有中文译注。</w:t>
      </w:r>
    </w:p>
    <w:p>
      <w:pPr>
        <w:numPr>
          <w:ilvl w:val="1"/>
          <w:numId w:val="10"/>
        </w:numPr>
        <w:adjustRightInd w:val="0"/>
        <w:snapToGrid w:val="0"/>
        <w:spacing w:line="360" w:lineRule="auto"/>
      </w:pPr>
      <w:r>
        <w:rPr>
          <w:rFonts w:hint="eastAsia"/>
        </w:rPr>
        <w:t>响应文件</w:t>
      </w:r>
      <w:r>
        <w:t>所使用的公章必须为</w:t>
      </w:r>
      <w:r>
        <w:rPr>
          <w:rFonts w:hint="eastAsia"/>
        </w:rPr>
        <w:t>机构</w:t>
      </w:r>
      <w:r>
        <w:t>公章，且与</w:t>
      </w:r>
      <w:r>
        <w:rPr>
          <w:rFonts w:hint="eastAsia"/>
        </w:rPr>
        <w:t>参与磋商与报价的供应商</w:t>
      </w:r>
      <w:r>
        <w:t>名称一致，不能以其它业务章或附属机构章代替。需签名之处必须由当事人亲笔签署。</w:t>
      </w:r>
    </w:p>
    <w:p>
      <w:pPr>
        <w:numPr>
          <w:ilvl w:val="1"/>
          <w:numId w:val="10"/>
        </w:numPr>
        <w:adjustRightInd w:val="0"/>
        <w:snapToGrid w:val="0"/>
        <w:spacing w:line="360" w:lineRule="auto"/>
      </w:pPr>
      <w:r>
        <w:rPr>
          <w:rFonts w:hint="eastAsia"/>
        </w:rPr>
        <w:t>《响应承诺函》、《法定代表人/负责人资格证明书》、《法定代表人（负责人）授权书》、《守法经营声明书》的格式内容不允许擅自删改。</w:t>
      </w:r>
    </w:p>
    <w:p>
      <w:pPr>
        <w:numPr>
          <w:ilvl w:val="1"/>
          <w:numId w:val="10"/>
        </w:numPr>
        <w:adjustRightInd w:val="0"/>
        <w:snapToGrid w:val="0"/>
        <w:spacing w:line="360" w:lineRule="auto"/>
      </w:pPr>
      <w:r>
        <w:rPr>
          <w:rFonts w:hint="eastAsia"/>
        </w:rPr>
        <w:t>响应文件</w:t>
      </w:r>
      <w:r>
        <w:t>自制部分必须打印，每份内页须按序加注页码，不同内容部分之间</w:t>
      </w:r>
      <w:r>
        <w:rPr>
          <w:rFonts w:hint="eastAsia"/>
          <w:lang w:eastAsia="zh-CN"/>
        </w:rPr>
        <w:t>建议</w:t>
      </w:r>
      <w:r>
        <w:t>用彩页分隔，整册装订牢固可靠且不能轻易脱落。如因装订问题而出现漏页或缺页，由此产生的一切后果由</w:t>
      </w:r>
      <w:r>
        <w:rPr>
          <w:rFonts w:hint="eastAsia"/>
        </w:rPr>
        <w:t>供应商</w:t>
      </w:r>
      <w:r>
        <w:t>自行承担。</w:t>
      </w:r>
    </w:p>
    <w:p>
      <w:pPr>
        <w:numPr>
          <w:ilvl w:val="1"/>
          <w:numId w:val="10"/>
        </w:numPr>
        <w:adjustRightInd w:val="0"/>
        <w:snapToGrid w:val="0"/>
        <w:spacing w:line="360" w:lineRule="auto"/>
      </w:pPr>
      <w:r>
        <w:t>任何行间插字、涂改和增删，必须由</w:t>
      </w:r>
      <w:r>
        <w:rPr>
          <w:rFonts w:hint="eastAsia"/>
        </w:rPr>
        <w:t>供应商授权</w:t>
      </w:r>
      <w:r>
        <w:t>代表在旁边签字</w:t>
      </w:r>
      <w:r>
        <w:rPr>
          <w:rFonts w:hint="eastAsia"/>
        </w:rPr>
        <w:t>或加盖供应商公章</w:t>
      </w:r>
      <w:r>
        <w:t>后方为有效。</w:t>
      </w:r>
    </w:p>
    <w:p>
      <w:pPr>
        <w:numPr>
          <w:ilvl w:val="1"/>
          <w:numId w:val="10"/>
        </w:numPr>
        <w:adjustRightInd w:val="0"/>
        <w:snapToGrid w:val="0"/>
        <w:spacing w:line="360" w:lineRule="auto"/>
      </w:pPr>
      <w:r>
        <w:rPr>
          <w:rFonts w:hint="eastAsia"/>
        </w:rPr>
        <w:t>响应文件</w:t>
      </w:r>
      <w:r>
        <w:t>应包含正本、副本</w:t>
      </w:r>
      <w:r>
        <w:rPr>
          <w:rFonts w:hint="eastAsia"/>
        </w:rPr>
        <w:t>。</w:t>
      </w:r>
      <w:r>
        <w:t>唱标报价信封</w:t>
      </w:r>
      <w:r>
        <w:rPr>
          <w:rFonts w:hint="eastAsia"/>
        </w:rPr>
        <w:t>和正本、</w:t>
      </w:r>
      <w:r>
        <w:t>副本</w:t>
      </w:r>
      <w:r>
        <w:rPr>
          <w:rFonts w:hint="eastAsia"/>
        </w:rPr>
        <w:t>须</w:t>
      </w:r>
      <w:r>
        <w:t>分开单独密封并</w:t>
      </w:r>
      <w:r>
        <w:rPr>
          <w:rFonts w:hint="eastAsia"/>
        </w:rPr>
        <w:t>同时</w:t>
      </w:r>
      <w:r>
        <w:t>递交</w:t>
      </w:r>
      <w:r>
        <w:rPr>
          <w:rFonts w:hint="eastAsia"/>
        </w:rPr>
        <w:t>。包装文件的</w:t>
      </w:r>
      <w:r>
        <w:t>封口处</w:t>
      </w:r>
      <w:r>
        <w:rPr>
          <w:rFonts w:hint="eastAsia"/>
        </w:rPr>
        <w:t>须</w:t>
      </w:r>
      <w:r>
        <w:t>加盖</w:t>
      </w:r>
      <w:r>
        <w:rPr>
          <w:rFonts w:hint="eastAsia"/>
        </w:rPr>
        <w:t>供应商</w:t>
      </w:r>
      <w:r>
        <w:t>公章</w:t>
      </w:r>
      <w:r>
        <w:rPr>
          <w:rFonts w:hint="eastAsia"/>
        </w:rPr>
        <w:t>或授权代表签名</w:t>
      </w:r>
      <w:r>
        <w:t>，每一份</w:t>
      </w:r>
      <w:r>
        <w:rPr>
          <w:rFonts w:hint="eastAsia"/>
        </w:rPr>
        <w:t>响应文件</w:t>
      </w:r>
      <w:r>
        <w:t>上应明确注明“正本”或“副本”字样。</w:t>
      </w:r>
    </w:p>
    <w:p>
      <w:pPr>
        <w:numPr>
          <w:ilvl w:val="1"/>
          <w:numId w:val="10"/>
        </w:numPr>
        <w:adjustRightInd w:val="0"/>
        <w:snapToGrid w:val="0"/>
        <w:spacing w:line="360" w:lineRule="auto"/>
      </w:pPr>
      <w:r>
        <w:t>所有密封文件封套正面</w:t>
      </w:r>
      <w:r>
        <w:rPr>
          <w:rFonts w:hint="eastAsia"/>
        </w:rPr>
        <w:t>统一</w:t>
      </w:r>
      <w:r>
        <w:t>按“</w:t>
      </w:r>
      <w:r>
        <w:rPr>
          <w:rFonts w:hint="eastAsia"/>
        </w:rPr>
        <w:t>响应文件包装</w:t>
      </w:r>
      <w:r>
        <w:t>袋封面”</w:t>
      </w:r>
      <w:r>
        <w:rPr>
          <w:rFonts w:hint="eastAsia"/>
        </w:rPr>
        <w:t>格式填写</w:t>
      </w:r>
      <w:r>
        <w:t>标贴</w:t>
      </w:r>
      <w:r>
        <w:rPr>
          <w:rFonts w:hint="eastAsia"/>
        </w:rPr>
        <w:t>。</w:t>
      </w:r>
    </w:p>
    <w:p>
      <w:pPr>
        <w:numPr>
          <w:ilvl w:val="1"/>
          <w:numId w:val="10"/>
        </w:numPr>
        <w:adjustRightInd w:val="0"/>
        <w:snapToGrid w:val="0"/>
        <w:spacing w:line="360" w:lineRule="auto"/>
      </w:pPr>
      <w:r>
        <w:rPr>
          <w:rFonts w:hint="eastAsia"/>
        </w:rPr>
        <w:t>采购机构有权</w:t>
      </w:r>
      <w:r>
        <w:t>拒绝接受</w:t>
      </w:r>
      <w:r>
        <w:rPr>
          <w:rFonts w:hint="eastAsia"/>
        </w:rPr>
        <w:t>报价的情形：以</w:t>
      </w:r>
      <w:r>
        <w:t>电报、电话传真形式</w:t>
      </w:r>
      <w:r>
        <w:rPr>
          <w:rFonts w:hint="eastAsia"/>
        </w:rPr>
        <w:t>响应；</w:t>
      </w:r>
      <w:r>
        <w:t>密封</w:t>
      </w:r>
      <w:r>
        <w:rPr>
          <w:rFonts w:hint="eastAsia"/>
        </w:rPr>
        <w:t>、数量、规格、册装不合要求或逾期提交</w:t>
      </w:r>
      <w:r>
        <w:t>的</w:t>
      </w:r>
      <w:r>
        <w:rPr>
          <w:rFonts w:hint="eastAsia"/>
        </w:rPr>
        <w:t>响应文件；不按要求提供重要物证资料；不按时交纳足额磋商保证金</w:t>
      </w:r>
      <w:r>
        <w:t>。</w:t>
      </w:r>
    </w:p>
    <w:p>
      <w:pPr>
        <w:numPr>
          <w:ilvl w:val="0"/>
          <w:numId w:val="10"/>
        </w:numPr>
        <w:adjustRightInd w:val="0"/>
        <w:snapToGrid w:val="0"/>
        <w:spacing w:line="360" w:lineRule="auto"/>
        <w:rPr>
          <w:b/>
          <w:sz w:val="24"/>
        </w:rPr>
      </w:pPr>
      <w:r>
        <w:rPr>
          <w:rFonts w:hint="eastAsia"/>
          <w:b/>
          <w:sz w:val="24"/>
        </w:rPr>
        <w:t>响应报价</w:t>
      </w:r>
      <w:bookmarkEnd w:id="223"/>
      <w:bookmarkEnd w:id="224"/>
      <w:bookmarkEnd w:id="225"/>
      <w:bookmarkEnd w:id="226"/>
    </w:p>
    <w:p>
      <w:pPr>
        <w:numPr>
          <w:ilvl w:val="1"/>
          <w:numId w:val="10"/>
        </w:numPr>
        <w:adjustRightInd w:val="0"/>
        <w:snapToGrid w:val="0"/>
        <w:spacing w:line="360" w:lineRule="auto"/>
      </w:pPr>
      <w:r>
        <w:rPr>
          <w:rFonts w:hint="eastAsia"/>
        </w:rPr>
        <w:t>任何报价是以参与磋商与报价的供应商可独立履行项目合同义务，通过合理预测与准确核算后，可达到预期设计功能和常规使用效果，满足约定的服务标准和符合自身合法利益的前提下所作出的综合性合理报价，对在响应文件和合同书中未有明确列述、响应方案设计遗漏失误、市场剧变因素、应预见和不可预见的费用等均视为已完全考虑到并包括在报价总价之内。</w:t>
      </w:r>
    </w:p>
    <w:p>
      <w:pPr>
        <w:numPr>
          <w:ilvl w:val="1"/>
          <w:numId w:val="10"/>
        </w:numPr>
        <w:adjustRightInd w:val="0"/>
        <w:snapToGrid w:val="0"/>
        <w:spacing w:line="360" w:lineRule="auto"/>
      </w:pPr>
      <w:r>
        <w:rPr>
          <w:rFonts w:hint="eastAsia"/>
        </w:rPr>
        <w:t>对超出常规、具有特别意义的报价，或报价明显低于成本价或高于同业同期市场平均价时须作出重点说明，详述其理由和依据。</w:t>
      </w:r>
    </w:p>
    <w:p>
      <w:pPr>
        <w:numPr>
          <w:ilvl w:val="1"/>
          <w:numId w:val="10"/>
        </w:numPr>
        <w:adjustRightInd w:val="0"/>
        <w:snapToGrid w:val="0"/>
        <w:spacing w:line="360" w:lineRule="auto"/>
      </w:pPr>
      <w:r>
        <w:rPr>
          <w:rFonts w:hint="eastAsia"/>
        </w:rPr>
        <w:t>在提交首次响应文件时间截止后至响应有效期截止前的任何报价为固定不变价，此报价将作为评审的重要依据之一，但并不是确定成交供应商的唯一依据。</w:t>
      </w:r>
    </w:p>
    <w:p>
      <w:pPr>
        <w:numPr>
          <w:ilvl w:val="1"/>
          <w:numId w:val="10"/>
        </w:numPr>
        <w:adjustRightInd w:val="0"/>
        <w:snapToGrid w:val="0"/>
        <w:spacing w:line="360" w:lineRule="auto"/>
      </w:pPr>
      <w:r>
        <w:rPr>
          <w:rFonts w:hint="eastAsia"/>
        </w:rPr>
        <w:t>响应报价提出有折扣优惠者，以折扣后的最终优惠价为准。</w:t>
      </w:r>
    </w:p>
    <w:p>
      <w:pPr>
        <w:numPr>
          <w:ilvl w:val="0"/>
          <w:numId w:val="10"/>
        </w:numPr>
        <w:adjustRightInd w:val="0"/>
        <w:snapToGrid w:val="0"/>
        <w:spacing w:line="360" w:lineRule="auto"/>
        <w:rPr>
          <w:b/>
          <w:sz w:val="24"/>
        </w:rPr>
      </w:pPr>
      <w:r>
        <w:rPr>
          <w:rFonts w:hint="eastAsia"/>
          <w:b/>
          <w:sz w:val="24"/>
        </w:rPr>
        <w:t>响应文件差异修正准则</w:t>
      </w:r>
    </w:p>
    <w:p>
      <w:pPr>
        <w:adjustRightInd w:val="0"/>
        <w:snapToGrid w:val="0"/>
        <w:spacing w:line="360" w:lineRule="auto"/>
        <w:ind w:firstLine="630" w:firstLineChars="300"/>
      </w:pPr>
      <w:bookmarkStart w:id="227" w:name="_Toc136682896"/>
      <w:bookmarkStart w:id="228" w:name="_Toc159385055"/>
      <w:bookmarkStart w:id="229" w:name="_Toc136662920"/>
      <w:bookmarkStart w:id="230" w:name="_Toc119321131"/>
      <w:r>
        <w:rPr>
          <w:rFonts w:hint="eastAsia"/>
          <w:kern w:val="0"/>
          <w:szCs w:val="20"/>
        </w:rPr>
        <w:t>响应文件出现差异时，修正原则如下：</w:t>
      </w:r>
    </w:p>
    <w:p>
      <w:pPr>
        <w:numPr>
          <w:ilvl w:val="1"/>
          <w:numId w:val="10"/>
        </w:numPr>
        <w:adjustRightInd w:val="0"/>
        <w:snapToGrid w:val="0"/>
        <w:spacing w:line="360" w:lineRule="auto"/>
      </w:pPr>
      <w:r>
        <w:rPr>
          <w:rFonts w:hint="eastAsia"/>
        </w:rPr>
        <w:t>公开唱读内容与响应文件对应内容不一致，均以公开唱读内容为准。</w:t>
      </w:r>
      <w:r>
        <w:t>正本和副本</w:t>
      </w:r>
      <w:r>
        <w:rPr>
          <w:rFonts w:hint="eastAsia"/>
        </w:rPr>
        <w:t>之间</w:t>
      </w:r>
      <w:r>
        <w:t>内容有差异，以正本为准</w:t>
      </w:r>
      <w:r>
        <w:rPr>
          <w:rFonts w:hint="eastAsia"/>
        </w:rPr>
        <w:t>；</w:t>
      </w:r>
    </w:p>
    <w:p>
      <w:pPr>
        <w:numPr>
          <w:ilvl w:val="1"/>
          <w:numId w:val="10"/>
        </w:numPr>
        <w:adjustRightInd w:val="0"/>
        <w:snapToGrid w:val="0"/>
        <w:spacing w:line="360" w:lineRule="auto"/>
      </w:pPr>
      <w:r>
        <w:rPr>
          <w:rFonts w:hint="eastAsia"/>
        </w:rPr>
        <w:t>报价汇总表与分项明细表或其它相关报价表的报价不一致时，均以报价汇总表为准；</w:t>
      </w:r>
    </w:p>
    <w:p>
      <w:pPr>
        <w:numPr>
          <w:ilvl w:val="1"/>
          <w:numId w:val="10"/>
        </w:numPr>
        <w:adjustRightInd w:val="0"/>
        <w:snapToGrid w:val="0"/>
        <w:spacing w:line="360" w:lineRule="auto"/>
      </w:pPr>
      <w:r>
        <w:rPr>
          <w:rFonts w:hint="eastAsia"/>
        </w:rPr>
        <w:t>报价汇总表中各分项报价之和与总价不一致时，以单价修正总价；</w:t>
      </w:r>
    </w:p>
    <w:p>
      <w:pPr>
        <w:numPr>
          <w:ilvl w:val="1"/>
          <w:numId w:val="10"/>
        </w:numPr>
        <w:adjustRightInd w:val="0"/>
        <w:snapToGrid w:val="0"/>
        <w:spacing w:line="360" w:lineRule="auto"/>
      </w:pPr>
      <w:r>
        <w:rPr>
          <w:rFonts w:hint="eastAsia"/>
        </w:rPr>
        <w:t>分项明细表中的单价与对应的合计价不相符时，以单价为准，修正对应的该项合计价；</w:t>
      </w:r>
    </w:p>
    <w:p>
      <w:pPr>
        <w:numPr>
          <w:ilvl w:val="1"/>
          <w:numId w:val="10"/>
        </w:numPr>
        <w:adjustRightInd w:val="0"/>
        <w:snapToGrid w:val="0"/>
        <w:spacing w:line="360" w:lineRule="auto"/>
      </w:pPr>
      <w:r>
        <w:rPr>
          <w:rFonts w:hint="eastAsia"/>
        </w:rPr>
        <w:t>中文大写与小写数值标注价格不一致，以中文大写表示的报价为准；</w:t>
      </w:r>
    </w:p>
    <w:p>
      <w:pPr>
        <w:numPr>
          <w:ilvl w:val="1"/>
          <w:numId w:val="10"/>
        </w:numPr>
        <w:adjustRightInd w:val="0"/>
        <w:snapToGrid w:val="0"/>
        <w:spacing w:line="360" w:lineRule="auto"/>
      </w:pPr>
      <w:r>
        <w:rPr>
          <w:rFonts w:hint="eastAsia"/>
        </w:rPr>
        <w:t>响应文件描述内容与原始材料引述内容不一致时，以原始材料内容为准；</w:t>
      </w:r>
    </w:p>
    <w:p>
      <w:pPr>
        <w:numPr>
          <w:ilvl w:val="1"/>
          <w:numId w:val="10"/>
        </w:numPr>
        <w:adjustRightInd w:val="0"/>
        <w:snapToGrid w:val="0"/>
        <w:spacing w:line="360" w:lineRule="auto"/>
      </w:pPr>
      <w:r>
        <w:rPr>
          <w:rFonts w:hint="eastAsia"/>
        </w:rPr>
        <w:t>对出现以上情况或因明显笔误而需修正任何内容时，均以磋商小组审定通过方为有效；</w:t>
      </w:r>
    </w:p>
    <w:p>
      <w:pPr>
        <w:numPr>
          <w:ilvl w:val="1"/>
          <w:numId w:val="10"/>
        </w:numPr>
        <w:adjustRightInd w:val="0"/>
        <w:snapToGrid w:val="0"/>
        <w:spacing w:line="360" w:lineRule="auto"/>
      </w:pPr>
      <w:r>
        <w:rPr>
          <w:rFonts w:hint="eastAsia"/>
        </w:rPr>
        <w:t>磋商小组认定为表述不清晰或无法确定的报价均不予修正。</w:t>
      </w:r>
      <w:bookmarkEnd w:id="227"/>
      <w:bookmarkEnd w:id="228"/>
      <w:bookmarkEnd w:id="229"/>
      <w:bookmarkEnd w:id="230"/>
    </w:p>
    <w:p>
      <w:pPr>
        <w:numPr>
          <w:ilvl w:val="0"/>
          <w:numId w:val="10"/>
        </w:numPr>
        <w:adjustRightInd w:val="0"/>
        <w:snapToGrid w:val="0"/>
        <w:spacing w:line="360" w:lineRule="auto"/>
        <w:rPr>
          <w:b/>
          <w:sz w:val="24"/>
        </w:rPr>
      </w:pPr>
      <w:bookmarkStart w:id="231" w:name="_Toc159385056"/>
      <w:bookmarkStart w:id="232" w:name="_Toc136662921"/>
      <w:bookmarkStart w:id="233" w:name="_Toc136682897"/>
      <w:bookmarkStart w:id="234" w:name="_Toc119321132"/>
      <w:r>
        <w:rPr>
          <w:rFonts w:hint="eastAsia"/>
          <w:b/>
          <w:sz w:val="24"/>
        </w:rPr>
        <w:t>响应有效期</w:t>
      </w:r>
      <w:bookmarkEnd w:id="231"/>
      <w:bookmarkEnd w:id="232"/>
      <w:bookmarkEnd w:id="233"/>
      <w:bookmarkEnd w:id="234"/>
    </w:p>
    <w:p>
      <w:pPr>
        <w:numPr>
          <w:ilvl w:val="1"/>
          <w:numId w:val="10"/>
        </w:numPr>
        <w:adjustRightInd w:val="0"/>
        <w:snapToGrid w:val="0"/>
        <w:spacing w:line="360" w:lineRule="auto"/>
      </w:pPr>
      <w:bookmarkStart w:id="235" w:name="_Toc49329258"/>
      <w:bookmarkStart w:id="236" w:name="_Toc55812449"/>
      <w:r>
        <w:rPr>
          <w:rFonts w:hint="eastAsia"/>
        </w:rPr>
        <w:t>响应有效期为自递交响应文件起至确定正式成交供应商止不少于90天，成交单位响应有效期则顺延至项目验收合格之日，在此有效期内未经采购人或采购代理机构同意，响应文件的一切内容和补充承诺均为持续有效且不予改变。</w:t>
      </w:r>
    </w:p>
    <w:p>
      <w:pPr>
        <w:numPr>
          <w:ilvl w:val="1"/>
          <w:numId w:val="10"/>
        </w:numPr>
        <w:adjustRightInd w:val="0"/>
        <w:snapToGrid w:val="0"/>
        <w:spacing w:line="360" w:lineRule="auto"/>
      </w:pPr>
      <w:r>
        <w:rPr>
          <w:rFonts w:hint="eastAsia"/>
        </w:rPr>
        <w:t>特殊情况下采购代理机构或采购人可于响应有效期期满前，要求供应商延长其响应文件有效期，其要求与答复均为书面形式，不同意或拒绝延期的供应商将视为自动放弃响应，其磋商保证金将予以退还。</w:t>
      </w:r>
    </w:p>
    <w:bookmarkEnd w:id="235"/>
    <w:bookmarkEnd w:id="236"/>
    <w:p>
      <w:pPr>
        <w:adjustRightInd w:val="0"/>
        <w:snapToGrid w:val="0"/>
        <w:spacing w:line="360" w:lineRule="auto"/>
        <w:rPr>
          <w:sz w:val="24"/>
        </w:rPr>
      </w:pPr>
    </w:p>
    <w:p>
      <w:pPr>
        <w:pStyle w:val="3"/>
        <w:numPr>
          <w:ilvl w:val="0"/>
          <w:numId w:val="6"/>
        </w:numPr>
        <w:snapToGrid w:val="0"/>
        <w:ind w:left="575" w:hanging="575" w:hangingChars="179"/>
        <w:rPr>
          <w:rFonts w:ascii="宋体-方正超大字符集" w:hAnsi="Times New Roman" w:eastAsia="宋体-方正超大字符集"/>
          <w:color w:val="auto"/>
          <w:sz w:val="32"/>
        </w:rPr>
        <w:sectPr>
          <w:footerReference r:id="rId12" w:type="default"/>
          <w:pgSz w:w="11906" w:h="16838"/>
          <w:pgMar w:top="1134" w:right="1134" w:bottom="1134" w:left="1587" w:header="567" w:footer="737" w:gutter="0"/>
          <w:pgNumType w:fmt="decimal"/>
          <w:cols w:space="720" w:num="1"/>
          <w:docGrid w:type="lines" w:linePitch="312" w:charSpace="0"/>
        </w:sectPr>
      </w:pPr>
      <w:bookmarkStart w:id="237" w:name="_Toc310519881"/>
      <w:bookmarkStart w:id="238" w:name="_Toc16809"/>
      <w:bookmarkStart w:id="239" w:name="_Toc373767194"/>
      <w:bookmarkStart w:id="240" w:name="_Toc20813"/>
      <w:bookmarkStart w:id="241" w:name="_Toc13257"/>
      <w:bookmarkStart w:id="242" w:name="_Toc15011"/>
      <w:bookmarkStart w:id="243" w:name="_Toc419106558"/>
      <w:bookmarkStart w:id="244" w:name="_Toc4799"/>
      <w:bookmarkStart w:id="245" w:name="_Toc22428"/>
      <w:bookmarkStart w:id="246" w:name="_Toc27280"/>
      <w:bookmarkStart w:id="247" w:name="_Toc113157424"/>
      <w:bookmarkStart w:id="248" w:name="_Toc259803664"/>
      <w:bookmarkStart w:id="249" w:name="_Toc23089"/>
      <w:bookmarkStart w:id="250" w:name="_Toc13972"/>
      <w:bookmarkStart w:id="251" w:name="_Toc525312046"/>
      <w:bookmarkStart w:id="252" w:name="_Toc325031937"/>
      <w:bookmarkStart w:id="253" w:name="_Toc28448"/>
      <w:bookmarkStart w:id="254" w:name="_Toc1787"/>
    </w:p>
    <w:p>
      <w:pPr>
        <w:pStyle w:val="3"/>
        <w:numPr>
          <w:ilvl w:val="0"/>
          <w:numId w:val="6"/>
        </w:numPr>
        <w:snapToGrid w:val="0"/>
        <w:ind w:left="575" w:hanging="575" w:hangingChars="179"/>
        <w:rPr>
          <w:rFonts w:ascii="宋体-方正超大字符集" w:hAnsi="Times New Roman" w:eastAsia="宋体-方正超大字符集"/>
          <w:color w:val="auto"/>
          <w:sz w:val="32"/>
        </w:rPr>
      </w:pPr>
      <w:bookmarkStart w:id="255" w:name="_Toc22624"/>
      <w:bookmarkStart w:id="256" w:name="_Toc26634"/>
      <w:bookmarkStart w:id="257" w:name="_Toc19926"/>
      <w:bookmarkStart w:id="258" w:name="_Toc8982"/>
      <w:r>
        <w:rPr>
          <w:rFonts w:hint="eastAsia" w:ascii="宋体-方正超大字符集" w:hAnsi="Times New Roman" w:eastAsia="宋体-方正超大字符集"/>
          <w:color w:val="auto"/>
          <w:sz w:val="32"/>
        </w:rPr>
        <w:t>磋商小组的组成及评审程序</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numPr>
          <w:ilvl w:val="0"/>
          <w:numId w:val="10"/>
        </w:numPr>
        <w:adjustRightInd w:val="0"/>
        <w:snapToGrid w:val="0"/>
        <w:spacing w:line="360" w:lineRule="auto"/>
        <w:rPr>
          <w:b/>
          <w:sz w:val="24"/>
          <w:lang w:val="zh-CN"/>
        </w:rPr>
      </w:pPr>
      <w:bookmarkStart w:id="259" w:name="_Toc119321135"/>
      <w:bookmarkStart w:id="260" w:name="_Toc136682900"/>
      <w:bookmarkStart w:id="261" w:name="_Toc159385059"/>
      <w:bookmarkStart w:id="262" w:name="_Toc136662924"/>
      <w:r>
        <w:rPr>
          <w:rFonts w:hint="eastAsia"/>
          <w:b/>
          <w:sz w:val="24"/>
          <w:lang w:val="zh-CN"/>
        </w:rPr>
        <w:t>响应文件的递交</w:t>
      </w:r>
    </w:p>
    <w:p>
      <w:pPr>
        <w:numPr>
          <w:ilvl w:val="1"/>
          <w:numId w:val="10"/>
        </w:numPr>
        <w:adjustRightInd w:val="0"/>
        <w:snapToGrid w:val="0"/>
        <w:spacing w:line="360" w:lineRule="auto"/>
        <w:rPr>
          <w:lang w:val="zh-CN"/>
        </w:rPr>
      </w:pPr>
      <w:r>
        <w:rPr>
          <w:rFonts w:hint="eastAsia"/>
          <w:lang w:val="zh-CN"/>
        </w:rPr>
        <w:t>供应商代表应按《响应邀请函》所规定的时间和地点递交</w:t>
      </w:r>
      <w:r>
        <w:rPr>
          <w:rFonts w:hint="eastAsia"/>
          <w:lang w:val="en-GB"/>
        </w:rPr>
        <w:t>合规格的密封报价文件和相关证明资料</w:t>
      </w:r>
      <w:r>
        <w:rPr>
          <w:rFonts w:hint="eastAsia"/>
          <w:lang w:val="zh-CN"/>
        </w:rPr>
        <w:t>。</w:t>
      </w:r>
    </w:p>
    <w:p>
      <w:pPr>
        <w:numPr>
          <w:ilvl w:val="1"/>
          <w:numId w:val="10"/>
        </w:numPr>
        <w:adjustRightInd w:val="0"/>
        <w:snapToGrid w:val="0"/>
        <w:spacing w:line="360" w:lineRule="auto"/>
        <w:rPr>
          <w:lang w:val="zh-CN"/>
        </w:rPr>
      </w:pPr>
      <w:r>
        <w:rPr>
          <w:rFonts w:hint="eastAsia"/>
          <w:lang w:val="zh-CN"/>
        </w:rPr>
        <w:t>递交响应文件时间宣布截止后，采购人将不接收任何响应文件和证明资料。开标前由递交文件顺序的第一名和第二名供应商代表作为全体供应商推选的代表，将与监委代表（如有）共同对全部投标文件的密封情况进行当众检查，并当众宣布检查情况，在确认全部文件均密封完好后再开启报价信封进行开标。对于已开启拆封的投标文件，招标代理机构一概不予退回。</w:t>
      </w:r>
    </w:p>
    <w:p>
      <w:pPr>
        <w:numPr>
          <w:ilvl w:val="0"/>
          <w:numId w:val="10"/>
        </w:numPr>
        <w:adjustRightInd w:val="0"/>
        <w:snapToGrid w:val="0"/>
        <w:spacing w:line="360" w:lineRule="auto"/>
        <w:rPr>
          <w:b/>
          <w:sz w:val="24"/>
        </w:rPr>
      </w:pPr>
      <w:r>
        <w:rPr>
          <w:rFonts w:hint="eastAsia"/>
          <w:b/>
          <w:sz w:val="24"/>
        </w:rPr>
        <w:t>磋商小组的组成及评审工作要求</w:t>
      </w:r>
      <w:bookmarkEnd w:id="259"/>
      <w:bookmarkEnd w:id="260"/>
      <w:bookmarkEnd w:id="261"/>
      <w:bookmarkEnd w:id="262"/>
    </w:p>
    <w:p>
      <w:pPr>
        <w:numPr>
          <w:ilvl w:val="1"/>
          <w:numId w:val="10"/>
        </w:numPr>
        <w:adjustRightInd w:val="0"/>
        <w:snapToGrid w:val="0"/>
        <w:spacing w:line="360" w:lineRule="auto"/>
      </w:pPr>
      <w:bookmarkStart w:id="263" w:name="_Toc136682901"/>
      <w:bookmarkStart w:id="264" w:name="_Toc159385060"/>
      <w:bookmarkStart w:id="265" w:name="_Toc136662925"/>
      <w:bookmarkStart w:id="266" w:name="_Toc119321136"/>
      <w:r>
        <w:rPr>
          <w:rFonts w:hint="eastAsia"/>
        </w:rPr>
        <w:t>采购代理机构根据项目的特点和专业技术要求依法组建磋商小组，其成员为3人以上单数，其中采购人委派代表1人，其余由相关领域的专家组成，其中专家成员在开标前一天从专家库中抽选产生。</w:t>
      </w:r>
    </w:p>
    <w:p>
      <w:pPr>
        <w:numPr>
          <w:ilvl w:val="1"/>
          <w:numId w:val="10"/>
        </w:numPr>
        <w:adjustRightInd w:val="0"/>
        <w:snapToGrid w:val="0"/>
        <w:spacing w:line="360" w:lineRule="auto"/>
      </w:pPr>
      <w:r>
        <w:rPr>
          <w:rFonts w:hint="eastAsia"/>
        </w:rPr>
        <w:t>磋商小组将本着公平、公正、科学、择优的原则，严格按照法律法规和采购文件的要求推荐评审结果。如发现磋商小组的工作明显偏离采购文件的要求，或违反国家法律法规，采购代理机构可会同监管部门有权解散磋商小组，重新组织招标或评标，并依法追究有关人员的法律责任。</w:t>
      </w:r>
    </w:p>
    <w:p>
      <w:pPr>
        <w:numPr>
          <w:ilvl w:val="0"/>
          <w:numId w:val="10"/>
        </w:numPr>
        <w:adjustRightInd w:val="0"/>
        <w:snapToGrid w:val="0"/>
        <w:spacing w:line="360" w:lineRule="auto"/>
        <w:rPr>
          <w:b/>
          <w:sz w:val="24"/>
        </w:rPr>
      </w:pPr>
      <w:r>
        <w:rPr>
          <w:rFonts w:hint="eastAsia"/>
          <w:b/>
          <w:sz w:val="24"/>
        </w:rPr>
        <w:t>磋商小组的工作要求</w:t>
      </w:r>
    </w:p>
    <w:p>
      <w:pPr>
        <w:numPr>
          <w:ilvl w:val="1"/>
          <w:numId w:val="10"/>
        </w:numPr>
        <w:adjustRightInd w:val="0"/>
        <w:snapToGrid w:val="0"/>
        <w:spacing w:line="360" w:lineRule="auto"/>
      </w:pPr>
      <w:r>
        <w:rPr>
          <w:rFonts w:hint="eastAsia"/>
          <w:b/>
          <w:bCs/>
        </w:rPr>
        <w:t>评审开始前，磋商小组应确认磋商文件。</w:t>
      </w:r>
    </w:p>
    <w:p>
      <w:pPr>
        <w:numPr>
          <w:ilvl w:val="1"/>
          <w:numId w:val="10"/>
        </w:numPr>
        <w:adjustRightInd w:val="0"/>
        <w:snapToGrid w:val="0"/>
        <w:spacing w:line="360" w:lineRule="auto"/>
      </w:pPr>
      <w:r>
        <w:rPr>
          <w:rFonts w:hint="eastAsia"/>
        </w:rPr>
        <w:t>在磋商过程中，磋商小组可以根据磋商文件和磋商情况对采购需求中技术要求以及合同书范本中的条款作出实质性变动，但不得变动磋商文件的其他内容或已明确不允许实质性变动的内容及最低要求。现场修改的内容须经采购人代表确认后，以书面形式同时通知所有参加磋商的供应商。磋商小组对磋商文件作出的实质性变动是磋商文件的有效组成部分。</w:t>
      </w:r>
    </w:p>
    <w:p>
      <w:pPr>
        <w:numPr>
          <w:ilvl w:val="1"/>
          <w:numId w:val="10"/>
        </w:numPr>
        <w:adjustRightInd w:val="0"/>
        <w:snapToGrid w:val="0"/>
        <w:spacing w:line="360" w:lineRule="auto"/>
      </w:pPr>
      <w:r>
        <w:rPr>
          <w:rFonts w:hint="eastAsia"/>
        </w:rPr>
        <w:t>评审期间，磋商小组应客观、公正地</w:t>
      </w:r>
      <w:r>
        <w:t>审查供应商</w:t>
      </w:r>
      <w:r>
        <w:rPr>
          <w:rFonts w:hint="eastAsia"/>
        </w:rPr>
        <w:t>提交</w:t>
      </w:r>
      <w:r>
        <w:t>的响应文件并作出评价</w:t>
      </w:r>
      <w:r>
        <w:rPr>
          <w:rFonts w:hint="eastAsia"/>
        </w:rPr>
        <w:t>，必要时可要求</w:t>
      </w:r>
      <w:r>
        <w:t>供应商解释或者澄清其响应文件；</w:t>
      </w:r>
    </w:p>
    <w:p>
      <w:pPr>
        <w:numPr>
          <w:ilvl w:val="1"/>
          <w:numId w:val="10"/>
        </w:numPr>
        <w:adjustRightInd w:val="0"/>
        <w:snapToGrid w:val="0"/>
        <w:spacing w:line="360" w:lineRule="auto"/>
      </w:pPr>
      <w:r>
        <w:rPr>
          <w:rFonts w:hint="eastAsia"/>
        </w:rPr>
        <w:t>磋商小组判断响应文件的有效性、合格性和响应情况，仅依赖于</w:t>
      </w:r>
      <w:r>
        <w:rPr>
          <w:rFonts w:hint="eastAsia" w:ascii="宋体" w:hAnsi="宋体" w:cs="宋体"/>
        </w:rPr>
        <w:t>供应商</w:t>
      </w:r>
      <w:r>
        <w:rPr>
          <w:rFonts w:hint="eastAsia"/>
        </w:rPr>
        <w:t>最基本的商业诚信和所递交一切文件的真实表述，不额外主动寻求外部证据，不受与本项目无直接关联的外部信息、传言而影响自身的专业判断。</w:t>
      </w:r>
    </w:p>
    <w:p>
      <w:pPr>
        <w:numPr>
          <w:ilvl w:val="1"/>
          <w:numId w:val="10"/>
        </w:numPr>
        <w:adjustRightInd w:val="0"/>
        <w:snapToGrid w:val="0"/>
        <w:spacing w:line="360" w:lineRule="auto"/>
      </w:pPr>
      <w:r>
        <w:rPr>
          <w:rFonts w:hint="eastAsia"/>
        </w:rPr>
        <w:t>各方当事人、专家成员如对</w:t>
      </w:r>
      <w:r>
        <w:rPr>
          <w:rFonts w:hint="eastAsia" w:ascii="宋体" w:hAnsi="宋体" w:cs="宋体"/>
        </w:rPr>
        <w:t>磋商文件</w:t>
      </w:r>
      <w:r>
        <w:rPr>
          <w:rFonts w:hint="eastAsia"/>
        </w:rPr>
        <w:t>、响应文件及相关补充文件的理解存有歧义时，磋商小组可对这些文件或向有关方面进行查证了解质询，通过集体讨论或表决达成一致处理意见。任何形式的决定，须以合法公正和有利于项目的安全顺利实施为前提。</w:t>
      </w:r>
    </w:p>
    <w:p>
      <w:pPr>
        <w:numPr>
          <w:ilvl w:val="1"/>
          <w:numId w:val="10"/>
        </w:numPr>
        <w:adjustRightInd w:val="0"/>
        <w:snapToGrid w:val="0"/>
        <w:spacing w:line="360" w:lineRule="auto"/>
      </w:pPr>
      <w:r>
        <w:rPr>
          <w:rFonts w:hint="eastAsia"/>
        </w:rPr>
        <w:t>根据法律法规相关规定，磋商小组成员和与评审活动有关的人员不得泄露有关响应文件的评审和比较、成交候选供应商的推荐以及与评审有关的其他情况。如</w:t>
      </w:r>
      <w:r>
        <w:t>在评审过程中发现的供应商的违法违规行为</w:t>
      </w:r>
      <w:r>
        <w:rPr>
          <w:rFonts w:hint="eastAsia"/>
        </w:rPr>
        <w:t>，应及时</w:t>
      </w:r>
      <w:r>
        <w:t>告知采购人、采购代理机构。</w:t>
      </w:r>
    </w:p>
    <w:p>
      <w:pPr>
        <w:numPr>
          <w:ilvl w:val="1"/>
          <w:numId w:val="10"/>
        </w:numPr>
        <w:adjustRightInd w:val="0"/>
        <w:snapToGrid w:val="0"/>
        <w:spacing w:line="360" w:lineRule="auto"/>
      </w:pPr>
      <w:r>
        <w:rPr>
          <w:rFonts w:hint="eastAsia"/>
        </w:rPr>
        <w:t>评审结束后，磋商小组应负责</w:t>
      </w:r>
      <w:r>
        <w:t>评审报告</w:t>
      </w:r>
      <w:r>
        <w:rPr>
          <w:rFonts w:hint="eastAsia"/>
        </w:rPr>
        <w:t>的</w:t>
      </w:r>
      <w:r>
        <w:t>编写</w:t>
      </w:r>
      <w:r>
        <w:rPr>
          <w:rFonts w:hint="eastAsia"/>
        </w:rPr>
        <w:t>。</w:t>
      </w:r>
    </w:p>
    <w:p>
      <w:pPr>
        <w:pStyle w:val="8"/>
      </w:pPr>
    </w:p>
    <w:p>
      <w:pPr>
        <w:pStyle w:val="15"/>
      </w:pPr>
    </w:p>
    <w:p>
      <w:pPr>
        <w:numPr>
          <w:ilvl w:val="0"/>
          <w:numId w:val="10"/>
        </w:numPr>
        <w:adjustRightInd w:val="0"/>
        <w:snapToGrid w:val="0"/>
        <w:spacing w:line="360" w:lineRule="auto"/>
        <w:rPr>
          <w:b/>
          <w:sz w:val="24"/>
        </w:rPr>
      </w:pPr>
      <w:r>
        <w:rPr>
          <w:rFonts w:hint="eastAsia"/>
          <w:b/>
          <w:sz w:val="24"/>
        </w:rPr>
        <w:t>响应文件的撤回</w:t>
      </w:r>
    </w:p>
    <w:p>
      <w:pPr>
        <w:numPr>
          <w:ilvl w:val="1"/>
          <w:numId w:val="10"/>
        </w:numPr>
        <w:adjustRightInd w:val="0"/>
        <w:snapToGrid w:val="0"/>
        <w:spacing w:line="360" w:lineRule="auto"/>
      </w:pPr>
      <w:r>
        <w:rPr>
          <w:rFonts w:hint="eastAsia"/>
        </w:rPr>
        <w:t>提交响应文件截止时间前，供应商可以对所提交的响应文件撤回，并书面通知采购人和采购代理机构。</w:t>
      </w:r>
    </w:p>
    <w:p>
      <w:pPr>
        <w:numPr>
          <w:ilvl w:val="1"/>
          <w:numId w:val="10"/>
        </w:numPr>
        <w:adjustRightInd w:val="0"/>
        <w:snapToGrid w:val="0"/>
        <w:spacing w:line="360" w:lineRule="auto"/>
      </w:pPr>
      <w:r>
        <w:rPr>
          <w:rFonts w:hint="eastAsia"/>
        </w:rPr>
        <w:t>供应商在提交首次响应文件后，在最后报价之前退出磋商的，均视为其撤回已提交的所有响应文件，并应书面通知采购人和采购代理机构。</w:t>
      </w:r>
    </w:p>
    <w:p>
      <w:pPr>
        <w:numPr>
          <w:ilvl w:val="0"/>
          <w:numId w:val="10"/>
        </w:numPr>
        <w:adjustRightInd w:val="0"/>
        <w:snapToGrid w:val="0"/>
        <w:spacing w:line="360" w:lineRule="auto"/>
        <w:rPr>
          <w:b/>
          <w:sz w:val="24"/>
        </w:rPr>
      </w:pPr>
      <w:r>
        <w:rPr>
          <w:rFonts w:hint="eastAsia"/>
          <w:b/>
          <w:sz w:val="24"/>
        </w:rPr>
        <w:t>有关磋商的约定</w:t>
      </w:r>
    </w:p>
    <w:p>
      <w:pPr>
        <w:numPr>
          <w:ilvl w:val="1"/>
          <w:numId w:val="10"/>
        </w:numPr>
        <w:adjustRightInd w:val="0"/>
        <w:snapToGrid w:val="0"/>
        <w:spacing w:line="360" w:lineRule="auto"/>
      </w:pPr>
      <w:r>
        <w:rPr>
          <w:rFonts w:hint="eastAsia"/>
        </w:rPr>
        <w:t>供应商授权代表必须在规定时间内到达评审现场处理磋商及报价的相关事宜，对于在规定的合理时间内未能到达评审会现场的，该供应商将被视为自动放弃磋商及报价。</w:t>
      </w:r>
    </w:p>
    <w:p>
      <w:pPr>
        <w:numPr>
          <w:ilvl w:val="1"/>
          <w:numId w:val="10"/>
        </w:numPr>
        <w:adjustRightInd w:val="0"/>
        <w:snapToGrid w:val="0"/>
        <w:spacing w:line="360" w:lineRule="auto"/>
      </w:pPr>
      <w:r>
        <w:rPr>
          <w:rFonts w:hint="eastAsia"/>
        </w:rPr>
        <w:t>评审过程中，供应商的授权代表应听从组织方的安排轮侯出席磋商，按照磋商文件的变动情况和磋商小组的要求重新提交响应文件，并由其法定代表人或授权代表签字或者加盖公章，其现场所确认的文件均代表供应商的真实意愿和决定，并作为响应文件的补充内容具有不可撤消更改的法律效力。</w:t>
      </w:r>
    </w:p>
    <w:p>
      <w:pPr>
        <w:numPr>
          <w:ilvl w:val="1"/>
          <w:numId w:val="10"/>
        </w:numPr>
        <w:adjustRightInd w:val="0"/>
        <w:snapToGrid w:val="0"/>
        <w:spacing w:line="360" w:lineRule="auto"/>
      </w:pPr>
      <w:r>
        <w:rPr>
          <w:rFonts w:hint="eastAsia"/>
        </w:rPr>
        <w:t>递交首次响应文件后，</w:t>
      </w:r>
      <w:r>
        <w:t>在提交最后报价之前，</w:t>
      </w:r>
      <w:r>
        <w:rPr>
          <w:rFonts w:hint="eastAsia"/>
        </w:rPr>
        <w:t>供应商</w:t>
      </w:r>
      <w:r>
        <w:t>可以根据</w:t>
      </w:r>
      <w:r>
        <w:rPr>
          <w:rFonts w:hint="eastAsia"/>
        </w:rPr>
        <w:t>评审</w:t>
      </w:r>
      <w:r>
        <w:t>情况退出</w:t>
      </w:r>
      <w:r>
        <w:rPr>
          <w:rFonts w:hint="eastAsia"/>
        </w:rPr>
        <w:t>磋商。</w:t>
      </w:r>
    </w:p>
    <w:p>
      <w:pPr>
        <w:numPr>
          <w:ilvl w:val="0"/>
          <w:numId w:val="10"/>
        </w:numPr>
        <w:adjustRightInd w:val="0"/>
        <w:snapToGrid w:val="0"/>
        <w:spacing w:line="360" w:lineRule="auto"/>
        <w:rPr>
          <w:b/>
          <w:sz w:val="24"/>
        </w:rPr>
      </w:pPr>
      <w:r>
        <w:rPr>
          <w:rFonts w:hint="eastAsia"/>
          <w:b/>
          <w:sz w:val="24"/>
        </w:rPr>
        <w:t>供应商有以下情况的不得再参加同一项目的重新采购活动：</w:t>
      </w:r>
    </w:p>
    <w:p>
      <w:pPr>
        <w:numPr>
          <w:ilvl w:val="1"/>
          <w:numId w:val="10"/>
        </w:numPr>
        <w:adjustRightInd w:val="0"/>
        <w:snapToGrid w:val="0"/>
        <w:spacing w:line="360" w:lineRule="auto"/>
      </w:pPr>
      <w:r>
        <w:rPr>
          <w:rFonts w:hint="eastAsia"/>
        </w:rPr>
        <w:t>项目评审开始后，未对磋商文件作出实质性修改时，撤回响应文件或退出磋商的；</w:t>
      </w:r>
    </w:p>
    <w:p>
      <w:pPr>
        <w:numPr>
          <w:ilvl w:val="1"/>
          <w:numId w:val="10"/>
        </w:numPr>
        <w:adjustRightInd w:val="0"/>
        <w:snapToGrid w:val="0"/>
        <w:spacing w:line="360" w:lineRule="auto"/>
      </w:pPr>
      <w:r>
        <w:rPr>
          <w:rFonts w:hint="eastAsia"/>
        </w:rPr>
        <w:t>对实质性变动内容作出响应并已重新提交响应文件，在提交最后报价之前退出磋商的；</w:t>
      </w:r>
    </w:p>
    <w:p>
      <w:pPr>
        <w:numPr>
          <w:ilvl w:val="1"/>
          <w:numId w:val="10"/>
        </w:numPr>
        <w:adjustRightInd w:val="0"/>
        <w:snapToGrid w:val="0"/>
        <w:spacing w:line="360" w:lineRule="auto"/>
      </w:pPr>
      <w:r>
        <w:rPr>
          <w:rFonts w:hint="eastAsia"/>
        </w:rPr>
        <w:t>在提交最后报价之后，退出磋商的；</w:t>
      </w:r>
    </w:p>
    <w:p>
      <w:pPr>
        <w:numPr>
          <w:ilvl w:val="1"/>
          <w:numId w:val="10"/>
        </w:numPr>
        <w:adjustRightInd w:val="0"/>
        <w:snapToGrid w:val="0"/>
        <w:spacing w:line="360" w:lineRule="auto"/>
      </w:pPr>
      <w:r>
        <w:rPr>
          <w:rFonts w:hint="eastAsia"/>
        </w:rPr>
        <w:t>除不可抗力等因素外，成交通知书发出后，供应商拒绝签订政府采购合同的。</w:t>
      </w:r>
    </w:p>
    <w:p>
      <w:pPr>
        <w:numPr>
          <w:ilvl w:val="0"/>
          <w:numId w:val="10"/>
        </w:numPr>
        <w:adjustRightInd w:val="0"/>
        <w:snapToGrid w:val="0"/>
        <w:spacing w:line="360" w:lineRule="auto"/>
        <w:rPr>
          <w:b/>
          <w:sz w:val="24"/>
        </w:rPr>
      </w:pPr>
      <w:r>
        <w:rPr>
          <w:rFonts w:hint="eastAsia"/>
          <w:b/>
          <w:sz w:val="24"/>
        </w:rPr>
        <w:t>评审流程与相关事项</w:t>
      </w:r>
      <w:bookmarkEnd w:id="263"/>
      <w:bookmarkEnd w:id="264"/>
      <w:bookmarkEnd w:id="265"/>
      <w:bookmarkEnd w:id="266"/>
    </w:p>
    <w:p>
      <w:pPr>
        <w:numPr>
          <w:ilvl w:val="1"/>
          <w:numId w:val="10"/>
        </w:numPr>
        <w:adjustRightInd w:val="0"/>
        <w:snapToGrid w:val="0"/>
        <w:spacing w:line="360" w:lineRule="auto"/>
      </w:pPr>
      <w:r>
        <w:rPr>
          <w:b/>
        </w:rPr>
        <w:t>资格性</w:t>
      </w:r>
      <w:r>
        <w:rPr>
          <w:rFonts w:hint="eastAsia"/>
          <w:b/>
        </w:rPr>
        <w:t>审</w:t>
      </w:r>
      <w:r>
        <w:rPr>
          <w:b/>
        </w:rPr>
        <w:t>查</w:t>
      </w:r>
      <w:r>
        <w:rPr>
          <w:rFonts w:hint="eastAsia"/>
          <w:b/>
        </w:rPr>
        <w:t>内容：</w:t>
      </w:r>
      <w:r>
        <w:rPr>
          <w:rFonts w:hint="eastAsia"/>
        </w:rPr>
        <w:t>由磋商小组对照磋商文件中的“资格性文件清单”要求，在满足完整和有效的前提下，核定资格符合的供应商名单。符合资格的供应商将被确定为邀请磋商的对象。</w:t>
      </w:r>
    </w:p>
    <w:p>
      <w:pPr>
        <w:numPr>
          <w:ilvl w:val="1"/>
          <w:numId w:val="10"/>
        </w:numPr>
        <w:adjustRightInd w:val="0"/>
        <w:snapToGrid w:val="0"/>
        <w:spacing w:line="360" w:lineRule="auto"/>
      </w:pPr>
      <w:r>
        <w:rPr>
          <w:rFonts w:hint="eastAsia"/>
          <w:b/>
        </w:rPr>
        <w:t>符合性审查内容：</w:t>
      </w:r>
      <w:r>
        <w:rPr>
          <w:rFonts w:hint="eastAsia"/>
        </w:rPr>
        <w:t>对照本项目</w:t>
      </w:r>
      <w:r>
        <w:t>的</w:t>
      </w:r>
      <w:r>
        <w:rPr>
          <w:rFonts w:hint="eastAsia"/>
        </w:rPr>
        <w:t>服务、商务、预算金额及文件制作要求</w:t>
      </w:r>
      <w:r>
        <w:t>，审查</w:t>
      </w:r>
      <w:r>
        <w:rPr>
          <w:rFonts w:hint="eastAsia"/>
        </w:rPr>
        <w:t>响应文件是否完全实质性</w:t>
      </w:r>
      <w:r>
        <w:t>响应</w:t>
      </w:r>
      <w:r>
        <w:rPr>
          <w:rFonts w:hint="eastAsia"/>
        </w:rPr>
        <w:t>采购文件的要求，没有出现重大偏离。</w:t>
      </w:r>
    </w:p>
    <w:p>
      <w:pPr>
        <w:numPr>
          <w:ilvl w:val="1"/>
          <w:numId w:val="10"/>
        </w:numPr>
        <w:adjustRightInd w:val="0"/>
        <w:snapToGrid w:val="0"/>
        <w:spacing w:line="360" w:lineRule="auto"/>
        <w:rPr>
          <w:b/>
          <w:bCs/>
        </w:rPr>
      </w:pPr>
      <w:r>
        <w:rPr>
          <w:rFonts w:hint="eastAsia"/>
          <w:b/>
          <w:bCs/>
        </w:rPr>
        <w:t>符合性审查内容如下：</w:t>
      </w:r>
    </w:p>
    <w:tbl>
      <w:tblPr>
        <w:tblStyle w:val="24"/>
        <w:tblW w:w="93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1"/>
        <w:gridCol w:w="3839"/>
        <w:gridCol w:w="48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661" w:type="dxa"/>
            <w:tcBorders>
              <w:top w:val="single" w:color="auto" w:sz="4" w:space="0"/>
              <w:left w:val="single" w:color="auto" w:sz="4" w:space="0"/>
              <w:bottom w:val="single" w:color="auto" w:sz="4" w:space="0"/>
              <w:right w:val="single" w:color="auto" w:sz="4" w:space="0"/>
            </w:tcBorders>
            <w:shd w:val="clear" w:color="auto" w:fill="F3F3F3"/>
            <w:vAlign w:val="center"/>
          </w:tcPr>
          <w:p>
            <w:pPr>
              <w:jc w:val="center"/>
              <w:rPr>
                <w:b/>
                <w:bCs/>
                <w:szCs w:val="21"/>
              </w:rPr>
            </w:pPr>
            <w:r>
              <w:rPr>
                <w:rFonts w:hint="eastAsia"/>
                <w:b/>
                <w:bCs/>
                <w:szCs w:val="21"/>
              </w:rPr>
              <w:t>序号</w:t>
            </w:r>
          </w:p>
        </w:tc>
        <w:tc>
          <w:tcPr>
            <w:tcW w:w="3839" w:type="dxa"/>
            <w:tcBorders>
              <w:top w:val="single" w:color="auto" w:sz="4" w:space="0"/>
              <w:left w:val="single" w:color="auto" w:sz="4" w:space="0"/>
              <w:bottom w:val="single" w:color="auto" w:sz="4" w:space="0"/>
              <w:right w:val="single" w:color="auto" w:sz="4" w:space="0"/>
            </w:tcBorders>
            <w:shd w:val="clear" w:color="auto" w:fill="F3F3F3"/>
            <w:vAlign w:val="center"/>
          </w:tcPr>
          <w:p>
            <w:pPr>
              <w:jc w:val="center"/>
              <w:rPr>
                <w:b/>
                <w:bCs/>
                <w:szCs w:val="21"/>
              </w:rPr>
            </w:pPr>
            <w:r>
              <w:rPr>
                <w:rFonts w:hint="eastAsia"/>
                <w:b/>
                <w:bCs/>
                <w:szCs w:val="21"/>
              </w:rPr>
              <w:t>审查内容</w:t>
            </w:r>
          </w:p>
        </w:tc>
        <w:tc>
          <w:tcPr>
            <w:tcW w:w="4860" w:type="dxa"/>
            <w:tcBorders>
              <w:top w:val="single" w:color="auto" w:sz="4" w:space="0"/>
              <w:left w:val="single" w:color="auto" w:sz="4" w:space="0"/>
              <w:bottom w:val="single" w:color="auto" w:sz="4" w:space="0"/>
              <w:right w:val="single" w:color="auto" w:sz="4" w:space="0"/>
            </w:tcBorders>
            <w:shd w:val="clear" w:color="auto" w:fill="F3F3F3"/>
            <w:vAlign w:val="center"/>
          </w:tcPr>
          <w:p>
            <w:pPr>
              <w:jc w:val="center"/>
              <w:rPr>
                <w:b/>
                <w:bCs/>
                <w:szCs w:val="21"/>
              </w:rPr>
            </w:pPr>
            <w:r>
              <w:rPr>
                <w:rFonts w:hint="eastAsia"/>
                <w:b/>
                <w:bCs/>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383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响应文件制作</w:t>
            </w:r>
          </w:p>
        </w:tc>
        <w:tc>
          <w:tcPr>
            <w:tcW w:w="486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签字盖章均符合要求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83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《采购文件》</w:t>
            </w:r>
          </w:p>
          <w:p>
            <w:pPr>
              <w:jc w:val="center"/>
              <w:rPr>
                <w:szCs w:val="21"/>
              </w:rPr>
            </w:pPr>
            <w:r>
              <w:rPr>
                <w:rFonts w:hint="eastAsia"/>
                <w:szCs w:val="21"/>
              </w:rPr>
              <w:t>中“响应文件说明”必须提交的文件</w:t>
            </w:r>
          </w:p>
        </w:tc>
        <w:tc>
          <w:tcPr>
            <w:tcW w:w="486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各文件格式、数量及内容均完整有效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Cs w:val="21"/>
                <w:lang w:eastAsia="zh-CN"/>
              </w:rPr>
            </w:pPr>
            <w:r>
              <w:rPr>
                <w:rFonts w:hint="eastAsia"/>
                <w:szCs w:val="21"/>
                <w:lang w:val="en-US" w:eastAsia="zh-CN"/>
              </w:rPr>
              <w:t>3</w:t>
            </w:r>
          </w:p>
        </w:tc>
        <w:tc>
          <w:tcPr>
            <w:tcW w:w="383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响应承诺函</w:t>
            </w:r>
          </w:p>
        </w:tc>
        <w:tc>
          <w:tcPr>
            <w:tcW w:w="486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投标有效期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8"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Cs w:val="21"/>
                <w:lang w:val="en-US" w:eastAsia="zh-CN"/>
              </w:rPr>
            </w:pPr>
            <w:r>
              <w:rPr>
                <w:rFonts w:hint="eastAsia"/>
                <w:szCs w:val="21"/>
                <w:lang w:val="en-US" w:eastAsia="zh-CN"/>
              </w:rPr>
              <w:t>4</w:t>
            </w:r>
          </w:p>
        </w:tc>
        <w:tc>
          <w:tcPr>
            <w:tcW w:w="38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报价要求</w:t>
            </w:r>
          </w:p>
        </w:tc>
        <w:tc>
          <w:tcPr>
            <w:tcW w:w="4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lang w:eastAsia="zh-CN"/>
              </w:rPr>
              <w:t>没有超出本项目控制金额上限，且</w:t>
            </w:r>
            <w:r>
              <w:rPr>
                <w:rFonts w:hint="eastAsia"/>
                <w:szCs w:val="21"/>
                <w:lang w:val="en-US" w:eastAsia="zh-CN"/>
              </w:rPr>
              <w:t>符合采购文件的其他投标报价相关要求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8"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Cs w:val="21"/>
                <w:lang w:eastAsia="zh-CN"/>
              </w:rPr>
            </w:pPr>
            <w:r>
              <w:rPr>
                <w:rFonts w:hint="eastAsia"/>
                <w:szCs w:val="21"/>
                <w:lang w:val="en-US" w:eastAsia="zh-CN"/>
              </w:rPr>
              <w:t>5</w:t>
            </w:r>
          </w:p>
        </w:tc>
        <w:tc>
          <w:tcPr>
            <w:tcW w:w="38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 xml:space="preserve">实质性条款响应情况 </w:t>
            </w:r>
          </w:p>
        </w:tc>
        <w:tc>
          <w:tcPr>
            <w:tcW w:w="48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完全响应</w:t>
            </w:r>
            <w:r>
              <w:rPr>
                <w:rFonts w:hint="eastAsia" w:cs="Times New Roman"/>
                <w:kern w:val="2"/>
                <w:sz w:val="21"/>
                <w:szCs w:val="21"/>
                <w:lang w:val="en-US" w:eastAsia="zh-CN" w:bidi="ar-SA"/>
              </w:rPr>
              <w:t>采购</w:t>
            </w:r>
            <w:r>
              <w:rPr>
                <w:rFonts w:hint="eastAsia" w:ascii="Times New Roman" w:hAnsi="Times New Roman" w:eastAsia="宋体" w:cs="Times New Roman"/>
                <w:kern w:val="2"/>
                <w:sz w:val="21"/>
                <w:szCs w:val="21"/>
                <w:lang w:val="en-US" w:eastAsia="zh-CN" w:bidi="ar-SA"/>
              </w:rPr>
              <w:t>文件的实质性条款（即</w:t>
            </w:r>
            <w:r>
              <w:rPr>
                <w:rFonts w:ascii="Times New Roman" w:hAnsi="Times New Roman" w:eastAsia="宋体" w:cs="Times New Roman"/>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号条款），</w:t>
            </w:r>
            <w:r>
              <w:rPr>
                <w:rFonts w:hint="eastAsia" w:cs="Times New Roman"/>
                <w:kern w:val="2"/>
                <w:sz w:val="21"/>
                <w:szCs w:val="21"/>
                <w:lang w:val="en-US" w:eastAsia="zh-CN" w:bidi="ar-SA"/>
              </w:rPr>
              <w:t>响应</w:t>
            </w:r>
            <w:r>
              <w:rPr>
                <w:rFonts w:hint="eastAsia" w:ascii="Times New Roman" w:hAnsi="Times New Roman" w:eastAsia="宋体" w:cs="Times New Roman"/>
                <w:kern w:val="2"/>
                <w:sz w:val="21"/>
                <w:szCs w:val="21"/>
                <w:lang w:val="en-US" w:eastAsia="zh-CN" w:bidi="ar-SA"/>
              </w:rPr>
              <w:t>时须按要求填写 《“★”项商务条款响应表》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3" w:hRule="atLeast"/>
          <w:jc w:val="center"/>
        </w:trPr>
        <w:tc>
          <w:tcPr>
            <w:tcW w:w="9360" w:type="dxa"/>
            <w:gridSpan w:val="3"/>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szCs w:val="21"/>
              </w:rPr>
              <w:t>审查结论评定依据：</w:t>
            </w:r>
          </w:p>
          <w:p>
            <w:pPr>
              <w:jc w:val="left"/>
              <w:rPr>
                <w:szCs w:val="21"/>
              </w:rPr>
            </w:pPr>
            <w:r>
              <w:rPr>
                <w:rFonts w:hint="eastAsia"/>
                <w:szCs w:val="21"/>
              </w:rPr>
              <w:t>以上各项均评定为“符合或合格”时，符合性审查结论为“合格”；若任何一项出现“不符合或不合格”时，则符合性审查结论为“不合格”。</w:t>
            </w:r>
          </w:p>
        </w:tc>
      </w:tr>
    </w:tbl>
    <w:p>
      <w:pPr>
        <w:adjustRightInd w:val="0"/>
        <w:snapToGrid w:val="0"/>
        <w:spacing w:line="360" w:lineRule="auto"/>
      </w:pPr>
    </w:p>
    <w:p>
      <w:pPr>
        <w:numPr>
          <w:ilvl w:val="1"/>
          <w:numId w:val="10"/>
        </w:numPr>
        <w:adjustRightInd w:val="0"/>
        <w:snapToGrid w:val="0"/>
        <w:spacing w:line="360" w:lineRule="auto"/>
      </w:pPr>
      <w:r>
        <w:rPr>
          <w:rFonts w:hint="eastAsia"/>
          <w:b/>
          <w:bCs/>
        </w:rPr>
        <w:t>资格性审查和符合性审查由磋商小组以记名方式独立表决，并以少数服从多数的原则确定审查结果。</w:t>
      </w:r>
      <w:r>
        <w:rPr>
          <w:rFonts w:hint="eastAsia"/>
        </w:rPr>
        <w:t>被审定为 “</w:t>
      </w:r>
      <w:r>
        <w:t>未实质性响应</w:t>
      </w:r>
      <w:r>
        <w:rPr>
          <w:rFonts w:hint="eastAsia"/>
        </w:rPr>
        <w:t>采购</w:t>
      </w:r>
      <w:r>
        <w:t>文件</w:t>
      </w:r>
      <w:r>
        <w:rPr>
          <w:rFonts w:hint="eastAsia"/>
        </w:rPr>
        <w:t>”时，磋商小组将通知</w:t>
      </w:r>
      <w:r>
        <w:rPr>
          <w:rFonts w:hint="eastAsia" w:ascii="宋体" w:hAnsi="宋体" w:cs="宋体"/>
        </w:rPr>
        <w:t>供应商</w:t>
      </w:r>
      <w:r>
        <w:rPr>
          <w:rFonts w:hint="eastAsia"/>
        </w:rPr>
        <w:t>代表亲自到达现场，由当事人对被列举的事实加以核证和确认。</w:t>
      </w:r>
      <w:r>
        <w:t>未实质性响应</w:t>
      </w:r>
      <w:r>
        <w:rPr>
          <w:rFonts w:hint="eastAsia"/>
        </w:rPr>
        <w:t>采购</w:t>
      </w:r>
      <w:r>
        <w:t>文件的响应文件按无效处理，</w:t>
      </w:r>
      <w:r>
        <w:rPr>
          <w:rFonts w:hint="eastAsia"/>
        </w:rPr>
        <w:t>将不进入下列程序。</w:t>
      </w:r>
    </w:p>
    <w:p>
      <w:pPr>
        <w:numPr>
          <w:ilvl w:val="1"/>
          <w:numId w:val="10"/>
        </w:numPr>
        <w:adjustRightInd w:val="0"/>
        <w:snapToGrid w:val="0"/>
        <w:spacing w:line="360" w:lineRule="auto"/>
        <w:rPr>
          <w:rFonts w:ascii="宋体" w:hAnsi="宋体" w:cs="宋体"/>
          <w:color w:val="000000"/>
          <w:kern w:val="0"/>
          <w:szCs w:val="21"/>
          <w:lang w:bidi="ar"/>
        </w:rPr>
      </w:pPr>
      <w:r>
        <w:rPr>
          <w:rFonts w:hint="eastAsia"/>
          <w:b/>
        </w:rPr>
        <w:t>质询与澄清：</w:t>
      </w:r>
      <w:r>
        <w:rPr>
          <w:rFonts w:hint="eastAsia"/>
        </w:rPr>
        <w:t>供应商在参与本次采购活动过程中确认自己的权益受到损害的，可以在知道或者应知其权益受损之日起7个工作日内，</w:t>
      </w:r>
      <w:r>
        <w:rPr>
          <w:rFonts w:hint="eastAsia" w:ascii="宋体" w:hAnsi="宋体" w:cs="宋体"/>
          <w:color w:val="000000"/>
          <w:kern w:val="0"/>
          <w:szCs w:val="21"/>
          <w:lang w:bidi="ar"/>
        </w:rPr>
        <w:t>以</w:t>
      </w:r>
      <w:r>
        <w:rPr>
          <w:rFonts w:hint="eastAsia"/>
        </w:rPr>
        <w:t>实名</w:t>
      </w:r>
      <w:r>
        <w:rPr>
          <w:rFonts w:hint="eastAsia" w:ascii="宋体" w:hAnsi="宋体" w:cs="宋体"/>
          <w:color w:val="000000"/>
          <w:kern w:val="0"/>
          <w:szCs w:val="21"/>
          <w:lang w:bidi="ar"/>
        </w:rPr>
        <w:t>书面原件形式向采购人或采购代理机构一次性提出针对同一采购程序环节的质疑申诉，逾期质疑无效，</w:t>
      </w:r>
      <w:r>
        <w:rPr>
          <w:rFonts w:hint="eastAsia"/>
        </w:rPr>
        <w:t>质疑内容不得含有虚假、恶意成份。依照谁主张谁举证的原则，提出质疑者必须提出明确的请求，并提交必要的证明材料。对捏造事实、滥用维权扰乱采购秩序的恶意质疑者或举证不全查无实据被驳回次数在一年内达三次以上，将纳入不良行为记录并承担相应的法律责任。</w:t>
      </w:r>
      <w:r>
        <w:rPr>
          <w:rFonts w:hint="eastAsia" w:ascii="宋体" w:hAnsi="宋体" w:cs="宋体"/>
          <w:color w:val="000000"/>
          <w:kern w:val="0"/>
          <w:szCs w:val="21"/>
          <w:lang w:bidi="ar"/>
        </w:rPr>
        <w:t>供应商应知其权益受到损害之日是指：</w:t>
      </w:r>
    </w:p>
    <w:p>
      <w:pPr>
        <w:adjustRightInd w:val="0"/>
        <w:snapToGrid w:val="0"/>
        <w:spacing w:line="360" w:lineRule="auto"/>
        <w:ind w:left="630" w:leftChars="300"/>
      </w:pPr>
      <w:r>
        <w:rPr>
          <w:rFonts w:hint="eastAsia"/>
        </w:rPr>
        <w:t xml:space="preserve">(1)对招标文件提出质疑的，为获取招标文件之日或者招标文件公告期限届满之日； </w:t>
      </w:r>
    </w:p>
    <w:p>
      <w:pPr>
        <w:adjustRightInd w:val="0"/>
        <w:snapToGrid w:val="0"/>
        <w:spacing w:line="360" w:lineRule="auto"/>
        <w:ind w:left="630" w:leftChars="300"/>
      </w:pPr>
      <w:r>
        <w:rPr>
          <w:rFonts w:hint="eastAsia"/>
        </w:rPr>
        <w:t xml:space="preserve">(2)对采购过程提出质疑的，为各采购程序环节结束之日； </w:t>
      </w:r>
    </w:p>
    <w:p>
      <w:pPr>
        <w:adjustRightInd w:val="0"/>
        <w:snapToGrid w:val="0"/>
        <w:spacing w:line="360" w:lineRule="auto"/>
        <w:ind w:left="630" w:leftChars="300"/>
      </w:pPr>
      <w:r>
        <w:rPr>
          <w:rFonts w:hint="eastAsia"/>
        </w:rPr>
        <w:t>(3)对成交结果提出质疑的，为成交结果公告期限届满之日。</w:t>
      </w:r>
    </w:p>
    <w:p>
      <w:pPr>
        <w:adjustRightInd w:val="0"/>
        <w:snapToGrid w:val="0"/>
        <w:spacing w:line="360" w:lineRule="auto"/>
        <w:ind w:left="630" w:leftChars="300"/>
      </w:pPr>
      <w:r>
        <w:rPr>
          <w:rFonts w:hint="eastAsia"/>
        </w:rPr>
        <w:t xml:space="preserve">质疑函应当包括下列主要内容： </w:t>
      </w:r>
    </w:p>
    <w:p>
      <w:pPr>
        <w:adjustRightInd w:val="0"/>
        <w:snapToGrid w:val="0"/>
        <w:spacing w:line="360" w:lineRule="auto"/>
        <w:ind w:left="630" w:leftChars="300"/>
      </w:pPr>
      <w:r>
        <w:rPr>
          <w:rFonts w:hint="eastAsia"/>
        </w:rPr>
        <w:t xml:space="preserve">(1)质疑供应商和相关供应商的名称、地址、邮编、联系人及联系电话等； </w:t>
      </w:r>
    </w:p>
    <w:p>
      <w:pPr>
        <w:adjustRightInd w:val="0"/>
        <w:snapToGrid w:val="0"/>
        <w:spacing w:line="360" w:lineRule="auto"/>
        <w:ind w:left="630" w:leftChars="300"/>
      </w:pPr>
      <w:r>
        <w:rPr>
          <w:rFonts w:hint="eastAsia"/>
        </w:rPr>
        <w:t xml:space="preserve">(2)质疑项目名称及编号、具体明确的质疑事项和与质疑事项相关的请求； </w:t>
      </w:r>
    </w:p>
    <w:p>
      <w:pPr>
        <w:adjustRightInd w:val="0"/>
        <w:snapToGrid w:val="0"/>
        <w:spacing w:line="360" w:lineRule="auto"/>
        <w:ind w:left="630" w:leftChars="300"/>
      </w:pPr>
      <w:r>
        <w:rPr>
          <w:rFonts w:hint="eastAsia"/>
        </w:rPr>
        <w:t>(3)认为采购文件、采购过程、中标和成交结果使自己的合法权益受到损害的法律依据、事实依据、相关证明材料及证据来源；提出质疑的日期。</w:t>
      </w:r>
      <w:r>
        <w:rPr>
          <w:rFonts w:hint="eastAsia" w:ascii="宋体" w:hAnsi="宋体" w:cs="宋体"/>
          <w:color w:val="000000"/>
          <w:kern w:val="0"/>
          <w:szCs w:val="21"/>
          <w:lang w:bidi="ar"/>
        </w:rPr>
        <w:t>质疑函应当署名。质疑供应商为自然人的，应当由本人签字；质疑供应商为法人或者其他组织的，应当由法定代表人、主要负责人，或者其授权代表签字或者盖章，并加盖公章。</w:t>
      </w:r>
      <w:r>
        <w:rPr>
          <w:rFonts w:hint="eastAsia"/>
        </w:rPr>
        <w:t xml:space="preserve">以联合体形式参加政府采购活动的，其质疑应当由联合体成员委托主体提出。 </w:t>
      </w:r>
    </w:p>
    <w:p>
      <w:pPr>
        <w:adjustRightInd w:val="0"/>
        <w:snapToGrid w:val="0"/>
        <w:spacing w:line="360" w:lineRule="auto"/>
        <w:ind w:left="630" w:leftChars="300"/>
      </w:pPr>
      <w:r>
        <w:rPr>
          <w:rFonts w:hint="eastAsia"/>
        </w:rPr>
        <w:t>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numPr>
          <w:ilvl w:val="1"/>
          <w:numId w:val="10"/>
        </w:numPr>
        <w:adjustRightInd w:val="0"/>
        <w:snapToGrid w:val="0"/>
        <w:spacing w:line="360" w:lineRule="auto"/>
      </w:pPr>
      <w:r>
        <w:rPr>
          <w:rFonts w:hint="eastAsia"/>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numPr>
          <w:ilvl w:val="1"/>
          <w:numId w:val="10"/>
        </w:numPr>
        <w:adjustRightInd w:val="0"/>
        <w:snapToGrid w:val="0"/>
        <w:spacing w:line="360" w:lineRule="auto"/>
      </w:pPr>
      <w:r>
        <w:rPr>
          <w:b/>
        </w:rPr>
        <w:t>竞争性磋商：</w:t>
      </w:r>
      <w:r>
        <w:rPr>
          <w:rFonts w:hint="eastAsia" w:ascii="宋体" w:hAnsi="宋体" w:cs="宋体"/>
        </w:rPr>
        <w:t>磋商小组</w:t>
      </w:r>
      <w:r>
        <w:t>所有成员与实质性响应磋商文件的供应商分别进行</w:t>
      </w:r>
      <w:r>
        <w:rPr>
          <w:rFonts w:hint="eastAsia"/>
        </w:rPr>
        <w:t>磋商。在磋商过程中，磋商小组对采购文件有变动的。被供应商应当按照采购文件的变动情况和磋商小组的要求重新提交响应文件，并由其法定代表人或授权代表签字或者加盖公章。磋商小组对采购文件作出的实质性变动是磋商文件的有效组成部分。</w:t>
      </w:r>
    </w:p>
    <w:p>
      <w:pPr>
        <w:numPr>
          <w:ilvl w:val="1"/>
          <w:numId w:val="10"/>
        </w:numPr>
        <w:adjustRightInd w:val="0"/>
        <w:snapToGrid w:val="0"/>
        <w:spacing w:line="360" w:lineRule="auto"/>
      </w:pPr>
      <w:r>
        <w:rPr>
          <w:rFonts w:hint="eastAsia"/>
        </w:rPr>
        <w:t>已提交响应文件的供应商，在提交最后报价之前，可以根据情况退出磋商。供应商在最终报价前退出磋商的其响应文件及承诺函不予退回。</w:t>
      </w:r>
    </w:p>
    <w:p>
      <w:pPr>
        <w:numPr>
          <w:ilvl w:val="1"/>
          <w:numId w:val="10"/>
        </w:numPr>
        <w:adjustRightInd w:val="0"/>
        <w:snapToGrid w:val="0"/>
        <w:spacing w:line="360" w:lineRule="auto"/>
      </w:pPr>
      <w:r>
        <w:rPr>
          <w:rFonts w:hint="eastAsia"/>
        </w:rPr>
        <w:t>磋商结束后</w:t>
      </w:r>
      <w:r>
        <w:t>，磋商小组将召集</w:t>
      </w:r>
      <w:r>
        <w:rPr>
          <w:rFonts w:hint="eastAsia"/>
        </w:rPr>
        <w:t>所有继续参加磋商且对由磋商小组最终确定的采购文件作出实质性响应的供应商提交最后</w:t>
      </w:r>
      <w:r>
        <w:t>报价</w:t>
      </w:r>
      <w:r>
        <w:rPr>
          <w:rFonts w:hint="eastAsia"/>
        </w:rPr>
        <w:t>。提交最后报价的供应商应不少于三家，但符合《政府采购竞争性磋商采购方式管理暂行办法》</w:t>
      </w:r>
      <w:r>
        <w:t>第二十</w:t>
      </w:r>
      <w:r>
        <w:rPr>
          <w:rFonts w:hint="eastAsia"/>
        </w:rPr>
        <w:t>一</w:t>
      </w:r>
      <w:r>
        <w:t>条第</w:t>
      </w:r>
      <w:r>
        <w:rPr>
          <w:rFonts w:hint="eastAsia"/>
        </w:rPr>
        <w:t>三</w:t>
      </w:r>
      <w:r>
        <w:t>款规定的情形</w:t>
      </w:r>
      <w:r>
        <w:rPr>
          <w:rFonts w:hint="eastAsia"/>
        </w:rPr>
        <w:t>除外。根据《财政部关于政府采购竞争性磋商采购方式管理暂行办法有关问题的补充通知》要求，采用竞争性磋商采购方式采购的政府购买服务项目（含政府和社会资本合作项目），在采购过程中符合要求的供应商（社会资本）只有2家的，竞争性磋商采购活动可以继续进行。</w:t>
      </w:r>
    </w:p>
    <w:p>
      <w:pPr>
        <w:numPr>
          <w:ilvl w:val="1"/>
          <w:numId w:val="10"/>
        </w:numPr>
        <w:adjustRightInd w:val="0"/>
        <w:snapToGrid w:val="0"/>
        <w:spacing w:line="360" w:lineRule="auto"/>
      </w:pPr>
      <w:r>
        <w:rPr>
          <w:rFonts w:hint="eastAsia"/>
          <w:b/>
        </w:rPr>
        <w:t>最</w:t>
      </w:r>
      <w:r>
        <w:rPr>
          <w:rFonts w:hint="eastAsia"/>
          <w:b/>
          <w:lang w:eastAsia="zh-CN"/>
        </w:rPr>
        <w:t>终</w:t>
      </w:r>
      <w:r>
        <w:rPr>
          <w:b/>
        </w:rPr>
        <w:t>报价</w:t>
      </w:r>
      <w:r>
        <w:rPr>
          <w:rFonts w:hint="eastAsia" w:ascii="宋体" w:hAnsi="宋体" w:cs="宋体"/>
          <w:b/>
        </w:rPr>
        <w:t>（</w:t>
      </w:r>
      <w:r>
        <w:rPr>
          <w:rFonts w:hint="eastAsia" w:ascii="宋体" w:hAnsi="宋体" w:cs="宋体"/>
          <w:b/>
          <w:lang w:eastAsia="zh-CN"/>
        </w:rPr>
        <w:t>响应</w:t>
      </w:r>
      <w:r>
        <w:rPr>
          <w:rFonts w:hint="eastAsia" w:ascii="宋体" w:hAnsi="宋体" w:cs="宋体"/>
          <w:b/>
        </w:rPr>
        <w:t>文件中的报价为初次报价，第二次报价即</w:t>
      </w:r>
      <w:r>
        <w:rPr>
          <w:rFonts w:hint="eastAsia" w:ascii="宋体" w:hAnsi="宋体" w:cs="宋体"/>
          <w:b/>
          <w:lang w:eastAsia="zh-CN"/>
        </w:rPr>
        <w:t>最终</w:t>
      </w:r>
      <w:r>
        <w:rPr>
          <w:rFonts w:hint="eastAsia" w:ascii="宋体" w:hAnsi="宋体" w:cs="宋体"/>
          <w:b/>
        </w:rPr>
        <w:t>报价）</w:t>
      </w:r>
      <w:r>
        <w:rPr>
          <w:b/>
        </w:rPr>
        <w:t>：</w:t>
      </w:r>
      <w:r>
        <w:rPr>
          <w:rFonts w:hint="eastAsia"/>
        </w:rPr>
        <w:t>最</w:t>
      </w:r>
      <w:r>
        <w:rPr>
          <w:rFonts w:hint="eastAsia"/>
          <w:lang w:eastAsia="zh-CN"/>
        </w:rPr>
        <w:t>终</w:t>
      </w:r>
      <w:r>
        <w:rPr>
          <w:rFonts w:hint="eastAsia"/>
        </w:rPr>
        <w:t>报价</w:t>
      </w:r>
      <w:r>
        <w:t>在</w:t>
      </w:r>
      <w:r>
        <w:rPr>
          <w:rFonts w:hint="eastAsia"/>
        </w:rPr>
        <w:t>规定的时间内</w:t>
      </w:r>
      <w:r>
        <w:t>现场封闭式进行，</w:t>
      </w:r>
      <w:r>
        <w:rPr>
          <w:rFonts w:hint="eastAsia"/>
        </w:rPr>
        <w:t>一般情况下</w:t>
      </w:r>
      <w:r>
        <w:t>最</w:t>
      </w:r>
      <w:r>
        <w:rPr>
          <w:rFonts w:hint="eastAsia"/>
          <w:lang w:eastAsia="zh-CN"/>
        </w:rPr>
        <w:t>终</w:t>
      </w:r>
      <w:r>
        <w:t>报价不得高于</w:t>
      </w:r>
      <w:r>
        <w:rPr>
          <w:rFonts w:hint="eastAsia"/>
        </w:rPr>
        <w:t>初次</w:t>
      </w:r>
      <w:r>
        <w:t>报价</w:t>
      </w:r>
      <w:r>
        <w:rPr>
          <w:rFonts w:hint="eastAsia"/>
        </w:rPr>
        <w:t>，但磋商小组对采购文件作出可能影响报价的实质性变动时，经磋商小组同意的情形除外。</w:t>
      </w:r>
    </w:p>
    <w:p>
      <w:pPr>
        <w:numPr>
          <w:ilvl w:val="1"/>
          <w:numId w:val="10"/>
        </w:numPr>
        <w:adjustRightInd w:val="0"/>
        <w:snapToGrid w:val="0"/>
        <w:spacing w:line="360" w:lineRule="auto"/>
        <w:rPr>
          <w:b/>
        </w:rPr>
      </w:pPr>
      <w:r>
        <w:rPr>
          <w:rFonts w:hint="eastAsia"/>
          <w:b/>
        </w:rPr>
        <w:t>综合评审：经磋商小组确定最终采购需求和提交最</w:t>
      </w:r>
      <w:r>
        <w:rPr>
          <w:rFonts w:hint="eastAsia"/>
          <w:b/>
          <w:lang w:eastAsia="zh-CN"/>
        </w:rPr>
        <w:t>终</w:t>
      </w:r>
      <w:r>
        <w:rPr>
          <w:rFonts w:hint="eastAsia"/>
          <w:b/>
        </w:rPr>
        <w:t>报价的供应商后，由磋商小组采用综合评分法对提交最</w:t>
      </w:r>
      <w:r>
        <w:rPr>
          <w:rFonts w:hint="eastAsia"/>
          <w:b/>
          <w:lang w:eastAsia="zh-CN"/>
        </w:rPr>
        <w:t>终</w:t>
      </w:r>
      <w:r>
        <w:rPr>
          <w:rFonts w:hint="eastAsia"/>
          <w:b/>
        </w:rPr>
        <w:t>报价的供应商的响应文件和最</w:t>
      </w:r>
      <w:r>
        <w:rPr>
          <w:rFonts w:hint="eastAsia"/>
          <w:b/>
          <w:lang w:eastAsia="zh-CN"/>
        </w:rPr>
        <w:t>终</w:t>
      </w:r>
      <w:r>
        <w:rPr>
          <w:rFonts w:hint="eastAsia"/>
          <w:b/>
        </w:rPr>
        <w:t>报价进行综合评分。具体评审标准详见“</w:t>
      </w:r>
      <w:r>
        <w:rPr>
          <w:rFonts w:hint="eastAsia"/>
          <w:b/>
          <w:lang w:eastAsia="zh-CN"/>
        </w:rPr>
        <w:t>六</w:t>
      </w:r>
      <w:r>
        <w:rPr>
          <w:rFonts w:hint="eastAsia"/>
          <w:b/>
        </w:rPr>
        <w:t>、</w:t>
      </w:r>
      <w:r>
        <w:fldChar w:fldCharType="begin"/>
      </w:r>
      <w:r>
        <w:instrText xml:space="preserve"> DOCVARIABLE  评审方法开始  \* MERGEFORMAT </w:instrText>
      </w:r>
      <w:r>
        <w:fldChar w:fldCharType="end"/>
      </w:r>
      <w:r>
        <w:rPr>
          <w:rFonts w:hint="eastAsia"/>
          <w:b/>
        </w:rPr>
        <w:t>评审方法及标准”。</w:t>
      </w:r>
    </w:p>
    <w:p>
      <w:pPr>
        <w:numPr>
          <w:ilvl w:val="1"/>
          <w:numId w:val="10"/>
        </w:numPr>
        <w:adjustRightInd w:val="0"/>
        <w:snapToGrid w:val="0"/>
        <w:spacing w:line="360" w:lineRule="auto"/>
      </w:pPr>
      <w:r>
        <w:rPr>
          <w:rFonts w:hint="eastAsia"/>
          <w:b/>
        </w:rPr>
        <w:t>政策性价格折扣：</w:t>
      </w:r>
      <w:r>
        <w:rPr>
          <w:rFonts w:hint="eastAsia"/>
        </w:rPr>
        <w:t>对符合政策要求的中小企业供应商提供的小型和微型企业产品给予相应的价格扣除，按照扣除后的价格参与评审计分，具体扣除比例详见“六、</w:t>
      </w:r>
      <w:r>
        <w:fldChar w:fldCharType="begin"/>
      </w:r>
      <w:r>
        <w:instrText xml:space="preserve"> DOCVARIABLE  评审方法开始  \* MERGEFORMAT </w:instrText>
      </w:r>
      <w:r>
        <w:fldChar w:fldCharType="end"/>
      </w:r>
      <w:r>
        <w:t>评审</w:t>
      </w:r>
      <w:r>
        <w:rPr>
          <w:rFonts w:hint="eastAsia"/>
        </w:rPr>
        <w:t>方法及标准”。</w:t>
      </w:r>
      <w:r>
        <w:t>（监狱企业视同小型、微型企业，</w:t>
      </w:r>
      <w:r>
        <w:rPr>
          <w:b/>
        </w:rPr>
        <w:t>监狱企业参加政府采购活动时，应当提供由省级以上监狱管理局、戒毒管理局</w:t>
      </w:r>
      <w:r>
        <w:rPr>
          <w:rFonts w:hint="eastAsia"/>
          <w:b/>
        </w:rPr>
        <w:t>&lt;</w:t>
      </w:r>
      <w:r>
        <w:rPr>
          <w:b/>
        </w:rPr>
        <w:t>含新疆生产建设兵团</w:t>
      </w:r>
      <w:r>
        <w:rPr>
          <w:rFonts w:hint="eastAsia"/>
          <w:b/>
        </w:rPr>
        <w:t>&gt;</w:t>
      </w:r>
      <w:r>
        <w:rPr>
          <w:b/>
        </w:rPr>
        <w:t>出具的属于监狱企业的证明文件</w:t>
      </w:r>
      <w:r>
        <w:t>）</w:t>
      </w:r>
      <w:r>
        <w:rPr>
          <w:rFonts w:hint="eastAsia"/>
        </w:rPr>
        <w:t>。</w:t>
      </w:r>
      <w:r>
        <w:rPr>
          <w:rFonts w:hint="eastAsia"/>
          <w:b/>
          <w:bCs/>
        </w:rPr>
        <w:t>（本项目不适用）</w:t>
      </w:r>
    </w:p>
    <w:p>
      <w:pPr>
        <w:numPr>
          <w:ilvl w:val="1"/>
          <w:numId w:val="10"/>
        </w:numPr>
        <w:adjustRightInd w:val="0"/>
        <w:snapToGrid w:val="0"/>
        <w:spacing w:line="360" w:lineRule="auto"/>
      </w:pPr>
      <w:r>
        <w:rPr>
          <w:rFonts w:hint="eastAsia"/>
          <w:b/>
          <w:bCs/>
        </w:rPr>
        <w:t>推荐</w:t>
      </w:r>
      <w:r>
        <w:rPr>
          <w:rFonts w:hint="eastAsia"/>
          <w:b/>
          <w:bCs/>
          <w:kern w:val="0"/>
        </w:rPr>
        <w:t>成交候选供应商</w:t>
      </w:r>
      <w:r>
        <w:rPr>
          <w:rFonts w:hint="eastAsia"/>
        </w:rPr>
        <w:t>：</w:t>
      </w:r>
      <w:r>
        <w:t>经</w:t>
      </w:r>
      <w:r>
        <w:rPr>
          <w:rFonts w:hint="eastAsia"/>
        </w:rPr>
        <w:t>磋商小组</w:t>
      </w:r>
      <w:r>
        <w:t>审核，</w:t>
      </w:r>
      <w:r>
        <w:rPr>
          <w:rFonts w:hint="eastAsia"/>
          <w:kern w:val="0"/>
        </w:rPr>
        <w:t>并进行综合评审后，根据综合评分情况，按照评审得分由高到低顺序推荐3名成交候选供应商。</w:t>
      </w:r>
      <w:r>
        <w:rPr>
          <w:rFonts w:hint="eastAsia" w:ascii="宋体" w:hAnsi="宋体"/>
          <w:shd w:val="clear" w:color="auto" w:fill="FFFFFF"/>
        </w:rPr>
        <w:t>若候选人综合总分相同时，则依次序以价格总分、技术总分、商务总分分别进行比对，前单项最高分者优先选录。如仍出现相同时，</w:t>
      </w:r>
      <w:r>
        <w:rPr>
          <w:rFonts w:hint="eastAsia" w:ascii="宋体" w:hAnsi="宋体"/>
          <w:shd w:val="clear" w:color="auto" w:fill="FFFFFF"/>
          <w:lang w:val="zh-CN"/>
        </w:rPr>
        <w:t>则由评标委员会通过集体投票的方式（以少数服从多数原则）确定。</w:t>
      </w:r>
    </w:p>
    <w:p>
      <w:pPr>
        <w:numPr>
          <w:ilvl w:val="1"/>
          <w:numId w:val="10"/>
        </w:numPr>
        <w:adjustRightInd w:val="0"/>
        <w:snapToGrid w:val="0"/>
        <w:spacing w:line="360" w:lineRule="auto"/>
      </w:pPr>
      <w:r>
        <w:rPr>
          <w:rFonts w:hint="eastAsia"/>
          <w:b/>
        </w:rPr>
        <w:t>原件备查审核：</w:t>
      </w:r>
      <w:r>
        <w:rPr>
          <w:rFonts w:hint="eastAsia"/>
        </w:rPr>
        <w:t>若采购文件中要求提交同类项目业绩证明文件、客户验收报告、企业资质证书、人员资格证书、社会保险证明、聘用合同书等资料复印件，磋商小组认为有必要时，可要求参与磋商与报价的供应商在规定的时间内递交原件审核验证。供应商必须在规定的时间内向磋商小组提交原件，否则，将视为提交的文件资料不符合要求。</w:t>
      </w:r>
    </w:p>
    <w:p>
      <w:pPr>
        <w:numPr>
          <w:ilvl w:val="1"/>
          <w:numId w:val="10"/>
        </w:numPr>
        <w:adjustRightInd w:val="0"/>
        <w:snapToGrid w:val="0"/>
        <w:spacing w:line="360" w:lineRule="auto"/>
      </w:pPr>
      <w:r>
        <w:rPr>
          <w:rFonts w:hint="eastAsia"/>
        </w:rPr>
        <w:t>如</w:t>
      </w:r>
      <w:r>
        <w:t>发现</w:t>
      </w:r>
      <w:r>
        <w:rPr>
          <w:shd w:val="clear" w:color="auto" w:fill="FFFFFF"/>
        </w:rPr>
        <w:t>资格性检查认定错误、分值汇总计算错误、分项评分超出评分标准范围、客观分评分不一致、经磋商小组一致认定评分畸高、畸低的情形</w:t>
      </w:r>
      <w:r>
        <w:t>，采购人或者</w:t>
      </w:r>
      <w:r>
        <w:rPr>
          <w:rFonts w:hint="eastAsia"/>
        </w:rPr>
        <w:t>采购代理机构应</w:t>
      </w:r>
      <w:r>
        <w:t>组织重新评审。采购人、</w:t>
      </w:r>
      <w:r>
        <w:rPr>
          <w:rFonts w:hint="eastAsia"/>
        </w:rPr>
        <w:t>采购代理机构如</w:t>
      </w:r>
      <w:r>
        <w:t>发现磋商小组</w:t>
      </w:r>
      <w:r>
        <w:rPr>
          <w:shd w:val="clear" w:color="auto" w:fill="FFFFFF"/>
        </w:rPr>
        <w:t>未按照磋商文件规定的评审标准进行评审的</w:t>
      </w:r>
      <w:r>
        <w:t>，应当重新开展采购活动，并同时书面报告本级财政部门</w:t>
      </w:r>
      <w:r>
        <w:rPr>
          <w:rFonts w:hint="eastAsia"/>
        </w:rPr>
        <w:t>（政府采购管理部门）</w:t>
      </w:r>
      <w:r>
        <w:t>。</w:t>
      </w:r>
    </w:p>
    <w:p>
      <w:pPr>
        <w:numPr>
          <w:ilvl w:val="0"/>
          <w:numId w:val="10"/>
        </w:numPr>
        <w:adjustRightInd w:val="0"/>
        <w:snapToGrid w:val="0"/>
        <w:spacing w:line="360" w:lineRule="auto"/>
        <w:rPr>
          <w:b/>
          <w:sz w:val="24"/>
        </w:rPr>
      </w:pPr>
      <w:r>
        <w:rPr>
          <w:rFonts w:hint="eastAsia"/>
          <w:b/>
          <w:sz w:val="24"/>
        </w:rPr>
        <w:t>采购活动终止的情形</w:t>
      </w:r>
    </w:p>
    <w:p>
      <w:pPr>
        <w:numPr>
          <w:ilvl w:val="1"/>
          <w:numId w:val="10"/>
        </w:numPr>
        <w:adjustRightInd w:val="0"/>
        <w:snapToGrid w:val="0"/>
        <w:spacing w:line="360" w:lineRule="auto"/>
      </w:pPr>
      <w:r>
        <w:t>因情况变化，不再符合规定的竞争性磋商采购方式适用情形的；</w:t>
      </w:r>
    </w:p>
    <w:p>
      <w:pPr>
        <w:numPr>
          <w:ilvl w:val="1"/>
          <w:numId w:val="10"/>
        </w:numPr>
        <w:adjustRightInd w:val="0"/>
        <w:snapToGrid w:val="0"/>
        <w:spacing w:line="360" w:lineRule="auto"/>
      </w:pPr>
      <w:r>
        <w:t>采购过程出现影响采购公正的违法、违规行为的；</w:t>
      </w:r>
    </w:p>
    <w:p>
      <w:pPr>
        <w:numPr>
          <w:ilvl w:val="1"/>
          <w:numId w:val="10"/>
        </w:numPr>
        <w:adjustRightInd w:val="0"/>
        <w:snapToGrid w:val="0"/>
        <w:spacing w:line="360" w:lineRule="auto"/>
      </w:pPr>
      <w:r>
        <w:rPr>
          <w:rFonts w:ascii="宋体" w:hAnsi="宋体"/>
          <w:shd w:val="clear" w:color="auto" w:fill="FFFFFF"/>
        </w:rPr>
        <w:t>除</w:t>
      </w:r>
      <w:r>
        <w:rPr>
          <w:rFonts w:hint="eastAsia"/>
        </w:rPr>
        <w:t>《政府采购竞争性磋商采购方式管理暂行办法》</w:t>
      </w:r>
      <w:r>
        <w:rPr>
          <w:rFonts w:ascii="宋体" w:hAnsi="宋体"/>
          <w:shd w:val="clear" w:color="auto" w:fill="FFFFFF"/>
        </w:rPr>
        <w:t>第二十一条第三款规定的情形外，在采购过程中符合要求的供应商或者报价未超过</w:t>
      </w:r>
      <w:r>
        <w:rPr>
          <w:rFonts w:hint="eastAsia" w:ascii="宋体" w:hAnsi="宋体"/>
          <w:shd w:val="clear" w:color="auto" w:fill="FFFFFF"/>
        </w:rPr>
        <w:t>项目控制金额</w:t>
      </w:r>
      <w:r>
        <w:rPr>
          <w:rFonts w:ascii="宋体" w:hAnsi="宋体"/>
          <w:shd w:val="clear" w:color="auto" w:fill="FFFFFF"/>
        </w:rPr>
        <w:t>的供应商不足3家的</w:t>
      </w:r>
      <w:r>
        <w:rPr>
          <w:rFonts w:hint="eastAsia" w:ascii="宋体" w:hAnsi="宋体"/>
          <w:shd w:val="clear" w:color="auto" w:fill="FFFFFF"/>
        </w:rPr>
        <w:t>；</w:t>
      </w:r>
    </w:p>
    <w:p>
      <w:pPr>
        <w:numPr>
          <w:ilvl w:val="1"/>
          <w:numId w:val="10"/>
        </w:numPr>
        <w:adjustRightInd w:val="0"/>
        <w:snapToGrid w:val="0"/>
        <w:spacing w:line="360" w:lineRule="auto"/>
      </w:pPr>
      <w:r>
        <w:rPr>
          <w:rFonts w:hint="eastAsia"/>
        </w:rPr>
        <w:t>政府采购文件存在重大缺漏致无法继续磋商评审，或继续磋商评审可能影响公平竞争的；</w:t>
      </w:r>
    </w:p>
    <w:p>
      <w:pPr>
        <w:numPr>
          <w:ilvl w:val="1"/>
          <w:numId w:val="10"/>
        </w:numPr>
        <w:adjustRightInd w:val="0"/>
        <w:snapToGrid w:val="0"/>
        <w:spacing w:line="360" w:lineRule="auto"/>
      </w:pPr>
      <w:r>
        <w:t>因重大变故，</w:t>
      </w:r>
      <w:r>
        <w:rPr>
          <w:rFonts w:hint="eastAsia"/>
        </w:rPr>
        <w:t>采购任务</w:t>
      </w:r>
      <w:r>
        <w:t>取消</w:t>
      </w:r>
      <w:r>
        <w:rPr>
          <w:rFonts w:hint="eastAsia"/>
        </w:rPr>
        <w:t>的</w:t>
      </w:r>
      <w:r>
        <w:t>。</w:t>
      </w:r>
    </w:p>
    <w:p>
      <w:pPr>
        <w:adjustRightInd w:val="0"/>
        <w:snapToGrid w:val="0"/>
        <w:spacing w:line="360" w:lineRule="auto"/>
        <w:ind w:firstLine="420"/>
      </w:pPr>
      <w:r>
        <w:rPr>
          <w:rFonts w:hint="eastAsia"/>
        </w:rPr>
        <w:t>如出现上述情形之一的，采购人或者采购代理机构应当终止竞争性磋商活动，发布项目终止公告并说明原因，重新开展采购活动。如出现上述“</w:t>
      </w:r>
      <w:r>
        <w:t>因重大变故，</w:t>
      </w:r>
      <w:r>
        <w:rPr>
          <w:rFonts w:hint="eastAsia"/>
        </w:rPr>
        <w:t>采购任务</w:t>
      </w:r>
      <w:r>
        <w:t>取消</w:t>
      </w:r>
      <w:r>
        <w:rPr>
          <w:rFonts w:hint="eastAsia"/>
        </w:rPr>
        <w:t>的”情形，不仅需要通知所有参加采购活动的供应商，同时还须将项目实施情况和采购任务取消原因报送本级财政监管部门。</w:t>
      </w:r>
    </w:p>
    <w:p>
      <w:pPr>
        <w:numPr>
          <w:ilvl w:val="0"/>
          <w:numId w:val="10"/>
        </w:numPr>
        <w:adjustRightInd w:val="0"/>
        <w:snapToGrid w:val="0"/>
        <w:spacing w:line="360" w:lineRule="auto"/>
        <w:rPr>
          <w:b/>
          <w:sz w:val="24"/>
        </w:rPr>
      </w:pPr>
      <w:bookmarkStart w:id="267" w:name="_Toc273256772"/>
      <w:bookmarkStart w:id="268" w:name="_Toc273256956"/>
      <w:bookmarkStart w:id="269" w:name="_Toc398648504"/>
      <w:bookmarkStart w:id="270" w:name="_Toc398911307"/>
      <w:bookmarkStart w:id="271" w:name="_Toc399142784"/>
      <w:r>
        <w:rPr>
          <w:rFonts w:hint="eastAsia"/>
          <w:b/>
          <w:sz w:val="24"/>
        </w:rPr>
        <w:t>未实质性响应磋商文件的情形或无效供应商的认定</w:t>
      </w:r>
      <w:bookmarkEnd w:id="267"/>
      <w:bookmarkEnd w:id="268"/>
      <w:bookmarkEnd w:id="269"/>
      <w:bookmarkEnd w:id="270"/>
      <w:bookmarkEnd w:id="271"/>
    </w:p>
    <w:p>
      <w:pPr>
        <w:numPr>
          <w:ilvl w:val="1"/>
          <w:numId w:val="10"/>
        </w:numPr>
        <w:adjustRightInd w:val="0"/>
        <w:snapToGrid w:val="0"/>
        <w:spacing w:line="360" w:lineRule="auto"/>
      </w:pPr>
      <w:bookmarkStart w:id="272" w:name="_Toc159385061"/>
      <w:bookmarkStart w:id="273" w:name="_Toc26261448"/>
      <w:bookmarkStart w:id="274" w:name="_Toc136682902"/>
      <w:bookmarkStart w:id="275" w:name="_Toc136662926"/>
      <w:bookmarkStart w:id="276" w:name="_Toc25726401"/>
      <w:bookmarkStart w:id="277" w:name="_Toc119321137"/>
      <w:r>
        <w:rPr>
          <w:rFonts w:hint="eastAsia"/>
        </w:rPr>
        <w:t>不符合《中华人民共和国政府采购法》第二十二条对供应商参加政府采购活动应当具备的条件；</w:t>
      </w:r>
    </w:p>
    <w:p>
      <w:pPr>
        <w:numPr>
          <w:ilvl w:val="1"/>
          <w:numId w:val="10"/>
        </w:numPr>
        <w:adjustRightInd w:val="0"/>
        <w:snapToGrid w:val="0"/>
        <w:spacing w:line="360" w:lineRule="auto"/>
      </w:pPr>
      <w:r>
        <w:rPr>
          <w:rFonts w:hint="eastAsia"/>
        </w:rPr>
        <w:t>参与磋商的供应商主体不明确；</w:t>
      </w:r>
    </w:p>
    <w:p>
      <w:pPr>
        <w:numPr>
          <w:ilvl w:val="1"/>
          <w:numId w:val="10"/>
        </w:numPr>
        <w:adjustRightInd w:val="0"/>
        <w:snapToGrid w:val="0"/>
        <w:spacing w:line="360" w:lineRule="auto"/>
      </w:pPr>
      <w:r>
        <w:rPr>
          <w:rFonts w:hint="eastAsia"/>
        </w:rPr>
        <w:t xml:space="preserve">不符合采购文件中合格供应商的相关规定；产品或服务不符合法定和约定的合格性标准要求； </w:t>
      </w:r>
    </w:p>
    <w:p>
      <w:pPr>
        <w:numPr>
          <w:ilvl w:val="1"/>
          <w:numId w:val="10"/>
        </w:numPr>
        <w:adjustRightInd w:val="0"/>
        <w:snapToGrid w:val="0"/>
        <w:spacing w:line="360" w:lineRule="auto"/>
      </w:pPr>
      <w:r>
        <w:rPr>
          <w:rFonts w:hint="eastAsia"/>
        </w:rPr>
        <w:t>未按要求提交磋商保证金；</w:t>
      </w:r>
    </w:p>
    <w:p>
      <w:pPr>
        <w:numPr>
          <w:ilvl w:val="1"/>
          <w:numId w:val="10"/>
        </w:numPr>
        <w:adjustRightInd w:val="0"/>
        <w:snapToGrid w:val="0"/>
        <w:spacing w:line="360" w:lineRule="auto"/>
      </w:pPr>
      <w:r>
        <w:rPr>
          <w:rFonts w:hint="eastAsia"/>
        </w:rPr>
        <w:t>授权代表未能在磋商小组规定的合理时间内达到评审现场；</w:t>
      </w:r>
    </w:p>
    <w:p>
      <w:pPr>
        <w:numPr>
          <w:ilvl w:val="1"/>
          <w:numId w:val="10"/>
        </w:numPr>
        <w:adjustRightInd w:val="0"/>
        <w:snapToGrid w:val="0"/>
        <w:spacing w:line="360" w:lineRule="auto"/>
      </w:pPr>
      <w:r>
        <w:rPr>
          <w:rFonts w:hint="eastAsia"/>
        </w:rPr>
        <w:t>供应商的响应文件不符合磋商文件要求；未按要求递交响应文件；</w:t>
      </w:r>
    </w:p>
    <w:p>
      <w:pPr>
        <w:numPr>
          <w:ilvl w:val="1"/>
          <w:numId w:val="10"/>
        </w:numPr>
        <w:adjustRightInd w:val="0"/>
        <w:snapToGrid w:val="0"/>
        <w:spacing w:line="360" w:lineRule="auto"/>
      </w:pPr>
      <w:r>
        <w:rPr>
          <w:rFonts w:hint="eastAsia"/>
        </w:rPr>
        <w:t>递交的响应文件密封不严，出现侵权事实行为；</w:t>
      </w:r>
    </w:p>
    <w:p>
      <w:pPr>
        <w:numPr>
          <w:ilvl w:val="1"/>
          <w:numId w:val="10"/>
        </w:numPr>
        <w:adjustRightInd w:val="0"/>
        <w:snapToGrid w:val="0"/>
        <w:spacing w:line="360" w:lineRule="auto"/>
      </w:pPr>
      <w:r>
        <w:rPr>
          <w:rFonts w:hint="eastAsia"/>
        </w:rPr>
        <w:t>响应文件编制与内容严重不符合要求；</w:t>
      </w:r>
    </w:p>
    <w:p>
      <w:pPr>
        <w:numPr>
          <w:ilvl w:val="1"/>
          <w:numId w:val="10"/>
        </w:numPr>
        <w:adjustRightInd w:val="0"/>
        <w:snapToGrid w:val="0"/>
        <w:spacing w:line="360" w:lineRule="auto"/>
      </w:pPr>
      <w:r>
        <w:rPr>
          <w:rFonts w:hint="eastAsia"/>
        </w:rPr>
        <w:t>未按采购文件要求签字、盖章，出现无效印章、签字和失效文件；</w:t>
      </w:r>
    </w:p>
    <w:p>
      <w:pPr>
        <w:numPr>
          <w:ilvl w:val="1"/>
          <w:numId w:val="10"/>
        </w:numPr>
        <w:adjustRightInd w:val="0"/>
        <w:snapToGrid w:val="0"/>
        <w:spacing w:line="360" w:lineRule="auto"/>
      </w:pPr>
      <w:r>
        <w:rPr>
          <w:rFonts w:hint="eastAsia"/>
        </w:rPr>
        <w:t>参与磋商与报价的有效期不响应；</w:t>
      </w:r>
    </w:p>
    <w:p>
      <w:pPr>
        <w:numPr>
          <w:ilvl w:val="1"/>
          <w:numId w:val="10"/>
        </w:numPr>
        <w:adjustRightInd w:val="0"/>
        <w:snapToGrid w:val="0"/>
        <w:spacing w:line="360" w:lineRule="auto"/>
      </w:pPr>
      <w:r>
        <w:rPr>
          <w:rFonts w:hint="eastAsia"/>
        </w:rPr>
        <w:t>未按要求提供重要的样板、物证和资料；</w:t>
      </w:r>
    </w:p>
    <w:p>
      <w:pPr>
        <w:numPr>
          <w:ilvl w:val="1"/>
          <w:numId w:val="10"/>
        </w:numPr>
        <w:adjustRightInd w:val="0"/>
        <w:snapToGrid w:val="0"/>
        <w:spacing w:line="360" w:lineRule="auto"/>
      </w:pPr>
      <w:r>
        <w:rPr>
          <w:rFonts w:hint="eastAsia"/>
        </w:rPr>
        <w:t>出现不正当竞争的行为；</w:t>
      </w:r>
    </w:p>
    <w:p>
      <w:pPr>
        <w:numPr>
          <w:ilvl w:val="1"/>
          <w:numId w:val="10"/>
        </w:numPr>
        <w:adjustRightInd w:val="0"/>
        <w:snapToGrid w:val="0"/>
        <w:spacing w:line="360" w:lineRule="auto"/>
      </w:pPr>
      <w:r>
        <w:rPr>
          <w:rFonts w:hint="eastAsia"/>
        </w:rPr>
        <w:t>以假借、挂靠他人名义或以串谋协同行动等形式参与响应，在独立供应商之间构成互利同盟关系；违反了诚实信用、公平竞争原则；</w:t>
      </w:r>
    </w:p>
    <w:p>
      <w:pPr>
        <w:numPr>
          <w:ilvl w:val="1"/>
          <w:numId w:val="10"/>
        </w:numPr>
        <w:adjustRightInd w:val="0"/>
        <w:snapToGrid w:val="0"/>
        <w:spacing w:line="360" w:lineRule="auto"/>
      </w:pPr>
      <w:r>
        <w:rPr>
          <w:rFonts w:hint="eastAsia"/>
        </w:rPr>
        <w:t>供应商相互串通响应，出现以下情形之一的：不同供应商的响应文件由同一单位或者个人编制；不同供应商委托同一单位或者个人办理参与磋商与报价的事宜；不同供应商的响应文件载明的项目管理成员为同一人；不同供应商的响应文件异常一致或者磋商报价呈规律性差异；不同供应商的响应文件相互混装；不同供应商的磋商保证金从同一单位或者个人的账户转出。</w:t>
      </w:r>
    </w:p>
    <w:p>
      <w:pPr>
        <w:numPr>
          <w:ilvl w:val="1"/>
          <w:numId w:val="10"/>
        </w:numPr>
        <w:adjustRightInd w:val="0"/>
        <w:snapToGrid w:val="0"/>
        <w:spacing w:line="360" w:lineRule="auto"/>
      </w:pPr>
      <w:r>
        <w:rPr>
          <w:rFonts w:hint="eastAsia"/>
        </w:rPr>
        <w:t>单位负责人为同一人或者存在控股、管理关系的不同供应商，同时参与本项目或分包的响应；</w:t>
      </w:r>
    </w:p>
    <w:p>
      <w:pPr>
        <w:numPr>
          <w:ilvl w:val="1"/>
          <w:numId w:val="10"/>
        </w:numPr>
        <w:adjustRightInd w:val="0"/>
        <w:snapToGrid w:val="0"/>
        <w:spacing w:line="360" w:lineRule="auto"/>
      </w:pPr>
      <w:r>
        <w:rPr>
          <w:rFonts w:hint="eastAsia"/>
        </w:rPr>
        <w:t>参与本项目供应商的主要成员同时出任其它供应商的重要职位，包括：法定代表人、董事成员、监事成员、高级经理或有可能影响公平竞争的关键岗位；</w:t>
      </w:r>
    </w:p>
    <w:p>
      <w:pPr>
        <w:numPr>
          <w:ilvl w:val="1"/>
          <w:numId w:val="10"/>
        </w:numPr>
        <w:adjustRightInd w:val="0"/>
        <w:snapToGrid w:val="0"/>
        <w:spacing w:line="360" w:lineRule="auto"/>
      </w:pPr>
      <w:r>
        <w:rPr>
          <w:rFonts w:hint="eastAsia"/>
        </w:rPr>
        <w:t>响应方案、报价表述不清晰或无法确定；报价超过了采购项目控制金额；</w:t>
      </w:r>
    </w:p>
    <w:p>
      <w:pPr>
        <w:numPr>
          <w:ilvl w:val="1"/>
          <w:numId w:val="10"/>
        </w:numPr>
        <w:adjustRightInd w:val="0"/>
        <w:snapToGrid w:val="0"/>
        <w:spacing w:line="360" w:lineRule="auto"/>
      </w:pPr>
      <w:r>
        <w:rPr>
          <w:rFonts w:hint="eastAsia"/>
        </w:rPr>
        <w:t>未能有效通过资格性审查或符合性审查，对约定必备的合格条件和重要关键内容出现实质性偏离；</w:t>
      </w:r>
    </w:p>
    <w:p>
      <w:pPr>
        <w:numPr>
          <w:ilvl w:val="1"/>
          <w:numId w:val="10"/>
        </w:numPr>
        <w:adjustRightInd w:val="0"/>
        <w:snapToGrid w:val="0"/>
        <w:spacing w:line="360" w:lineRule="auto"/>
      </w:pPr>
      <w:r>
        <w:t>在递交</w:t>
      </w:r>
      <w:r>
        <w:rPr>
          <w:rFonts w:hint="eastAsia"/>
        </w:rPr>
        <w:t>响应文件</w:t>
      </w:r>
      <w:r>
        <w:t>截止时间之后，</w:t>
      </w:r>
      <w:r>
        <w:rPr>
          <w:rFonts w:hint="eastAsia"/>
        </w:rPr>
        <w:t>响应文件</w:t>
      </w:r>
      <w:r>
        <w:t>有效期满之前，撤回</w:t>
      </w:r>
      <w:r>
        <w:rPr>
          <w:rFonts w:hint="eastAsia"/>
        </w:rPr>
        <w:t>响应文件或退出磋商</w:t>
      </w:r>
      <w:r>
        <w:t>；</w:t>
      </w:r>
    </w:p>
    <w:p>
      <w:pPr>
        <w:numPr>
          <w:ilvl w:val="1"/>
          <w:numId w:val="10"/>
        </w:numPr>
        <w:adjustRightInd w:val="0"/>
        <w:snapToGrid w:val="0"/>
        <w:spacing w:line="360" w:lineRule="auto"/>
      </w:pPr>
      <w:r>
        <w:rPr>
          <w:rFonts w:hint="eastAsia"/>
        </w:rPr>
        <w:t>响应方案或报价出现缺漏，经磋商后磋商小组认为仍无法满足项目要求；</w:t>
      </w:r>
    </w:p>
    <w:p>
      <w:pPr>
        <w:numPr>
          <w:ilvl w:val="1"/>
          <w:numId w:val="10"/>
        </w:numPr>
        <w:adjustRightInd w:val="0"/>
        <w:snapToGrid w:val="0"/>
        <w:spacing w:line="360" w:lineRule="auto"/>
      </w:pPr>
      <w:r>
        <w:rPr>
          <w:rFonts w:hint="eastAsia"/>
        </w:rPr>
        <w:t>经磋商小组认定为严重低于成本的恶意报价；</w:t>
      </w:r>
    </w:p>
    <w:p>
      <w:pPr>
        <w:numPr>
          <w:ilvl w:val="1"/>
          <w:numId w:val="10"/>
        </w:numPr>
        <w:adjustRightInd w:val="0"/>
        <w:snapToGrid w:val="0"/>
        <w:spacing w:line="360" w:lineRule="auto"/>
      </w:pPr>
      <w:r>
        <w:rPr>
          <w:rFonts w:hint="eastAsia"/>
        </w:rPr>
        <w:t>提供的中小企业声明与承诺等证明材料经认定存在虚假或与事实不符的情形；提供虚假材料谋取成交的；</w:t>
      </w:r>
    </w:p>
    <w:p>
      <w:pPr>
        <w:numPr>
          <w:ilvl w:val="1"/>
          <w:numId w:val="10"/>
        </w:numPr>
        <w:adjustRightInd w:val="0"/>
        <w:snapToGrid w:val="0"/>
        <w:spacing w:line="360" w:lineRule="auto"/>
      </w:pPr>
      <w:r>
        <w:rPr>
          <w:rFonts w:hint="eastAsia"/>
        </w:rPr>
        <w:t>出现了违反政府采购进口产品管理相关规定的情形；</w:t>
      </w:r>
    </w:p>
    <w:p>
      <w:pPr>
        <w:numPr>
          <w:ilvl w:val="1"/>
          <w:numId w:val="10"/>
        </w:numPr>
        <w:adjustRightInd w:val="0"/>
        <w:snapToGrid w:val="0"/>
        <w:spacing w:line="360" w:lineRule="auto"/>
      </w:pPr>
      <w:r>
        <w:rPr>
          <w:rFonts w:hint="eastAsia"/>
        </w:rPr>
        <w:t>评审期间没有按磋商小组要求提供补充材料，或调整补充内容及修正报价超出允许规定范围；</w:t>
      </w:r>
    </w:p>
    <w:p>
      <w:pPr>
        <w:numPr>
          <w:ilvl w:val="1"/>
          <w:numId w:val="10"/>
        </w:numPr>
        <w:adjustRightInd w:val="0"/>
        <w:snapToGrid w:val="0"/>
        <w:spacing w:line="360" w:lineRule="auto"/>
      </w:pPr>
      <w:r>
        <w:rPr>
          <w:rFonts w:hint="eastAsia"/>
        </w:rPr>
        <w:t>授权代表未能在磋商小组规定的合理时间内到达评审现场；</w:t>
      </w:r>
    </w:p>
    <w:p>
      <w:pPr>
        <w:numPr>
          <w:ilvl w:val="1"/>
          <w:numId w:val="10"/>
        </w:numPr>
        <w:adjustRightInd w:val="0"/>
        <w:snapToGrid w:val="0"/>
        <w:spacing w:line="360" w:lineRule="auto"/>
      </w:pPr>
      <w:r>
        <w:rPr>
          <w:rFonts w:hint="eastAsia"/>
        </w:rPr>
        <w:t>符合采购文件中载明会导致无效响应的其它规定和要求。</w:t>
      </w:r>
      <w:bookmarkEnd w:id="272"/>
      <w:bookmarkEnd w:id="273"/>
      <w:bookmarkEnd w:id="274"/>
      <w:bookmarkEnd w:id="275"/>
      <w:bookmarkEnd w:id="276"/>
      <w:bookmarkEnd w:id="277"/>
      <w:bookmarkStart w:id="278" w:name="_Toc26261449"/>
      <w:bookmarkEnd w:id="278"/>
      <w:bookmarkStart w:id="279" w:name="_Toc25726402"/>
      <w:bookmarkEnd w:id="279"/>
      <w:bookmarkStart w:id="280" w:name="_Toc29817721"/>
      <w:bookmarkEnd w:id="280"/>
    </w:p>
    <w:p>
      <w:pPr>
        <w:pStyle w:val="3"/>
        <w:numPr>
          <w:ilvl w:val="0"/>
          <w:numId w:val="6"/>
        </w:numPr>
        <w:tabs>
          <w:tab w:val="left" w:pos="0"/>
        </w:tabs>
        <w:snapToGrid w:val="0"/>
        <w:ind w:left="2" w:firstLine="0"/>
        <w:rPr>
          <w:rFonts w:ascii="宋体-方正超大字符集" w:hAnsi="Times New Roman" w:eastAsia="宋体-方正超大字符集"/>
          <w:color w:val="auto"/>
          <w:sz w:val="32"/>
        </w:rPr>
        <w:sectPr>
          <w:pgSz w:w="11906" w:h="16838"/>
          <w:pgMar w:top="1134" w:right="1134" w:bottom="1134" w:left="1587" w:header="567" w:footer="737" w:gutter="0"/>
          <w:pgNumType w:fmt="decimal"/>
          <w:cols w:space="720" w:num="1"/>
          <w:docGrid w:type="lines" w:linePitch="312" w:charSpace="0"/>
        </w:sectPr>
      </w:pPr>
      <w:bookmarkStart w:id="281" w:name="_Toc113157425"/>
      <w:bookmarkStart w:id="282" w:name="_Toc49329260"/>
      <w:bookmarkStart w:id="283" w:name="_Toc34704904"/>
      <w:bookmarkStart w:id="284" w:name="_Toc55812451"/>
      <w:bookmarkStart w:id="285" w:name="_Toc31703"/>
      <w:bookmarkStart w:id="286" w:name="_Toc3904"/>
      <w:bookmarkStart w:id="287" w:name="_Toc8479"/>
    </w:p>
    <w:p>
      <w:pPr>
        <w:pStyle w:val="3"/>
        <w:numPr>
          <w:ilvl w:val="0"/>
          <w:numId w:val="6"/>
        </w:numPr>
        <w:tabs>
          <w:tab w:val="left" w:pos="0"/>
        </w:tabs>
        <w:snapToGrid w:val="0"/>
        <w:ind w:left="2" w:firstLine="0"/>
        <w:rPr>
          <w:rFonts w:ascii="宋体-方正超大字符集" w:hAnsi="Times New Roman" w:eastAsia="宋体-方正超大字符集"/>
          <w:color w:val="auto"/>
          <w:sz w:val="32"/>
          <w:highlight w:val="none"/>
        </w:rPr>
      </w:pPr>
      <w:bookmarkStart w:id="288" w:name="_Toc12852"/>
      <w:bookmarkStart w:id="289" w:name="_Toc14721"/>
      <w:bookmarkStart w:id="290" w:name="_Toc31539"/>
      <w:bookmarkStart w:id="291" w:name="_Toc1319"/>
      <w:bookmarkStart w:id="292" w:name="_Toc4503"/>
      <w:bookmarkStart w:id="293" w:name="_Toc16030"/>
      <w:bookmarkStart w:id="294" w:name="_Toc31272"/>
      <w:bookmarkStart w:id="295" w:name="_Toc5276"/>
      <w:bookmarkStart w:id="296" w:name="_Toc20989"/>
      <w:bookmarkStart w:id="297" w:name="_Toc16358"/>
      <w:bookmarkStart w:id="298" w:name="_Toc27447"/>
      <w:bookmarkStart w:id="299" w:name="_Toc27527"/>
      <w:r>
        <w:rPr>
          <w:rFonts w:hint="eastAsia" w:ascii="宋体-方正超大字符集" w:eastAsia="宋体-方正超大字符集"/>
          <w:b w:val="0"/>
          <w:bCs/>
          <w:color w:val="auto"/>
          <w:sz w:val="24"/>
          <w:highlight w:val="none"/>
        </w:rPr>
        <w:fldChar w:fldCharType="begin"/>
      </w:r>
      <w:r>
        <w:rPr>
          <w:rFonts w:hint="eastAsia" w:ascii="宋体-方正超大字符集" w:eastAsia="宋体-方正超大字符集"/>
          <w:b w:val="0"/>
          <w:bCs/>
          <w:color w:val="auto"/>
          <w:sz w:val="24"/>
          <w:highlight w:val="none"/>
        </w:rPr>
        <w:instrText xml:space="preserve"> DOCVARIABLE  评审方法开始  \* MERGEFORMAT </w:instrText>
      </w:r>
      <w:r>
        <w:rPr>
          <w:rFonts w:hint="eastAsia" w:ascii="宋体-方正超大字符集" w:eastAsia="宋体-方正超大字符集"/>
          <w:b w:val="0"/>
          <w:bCs/>
          <w:color w:val="auto"/>
          <w:sz w:val="24"/>
          <w:highlight w:val="none"/>
        </w:rPr>
        <w:fldChar w:fldCharType="end"/>
      </w:r>
      <w:bookmarkStart w:id="300" w:name="_Toc310519882"/>
      <w:bookmarkStart w:id="301" w:name="_Toc259803665"/>
      <w:bookmarkStart w:id="302" w:name="_Toc373767195"/>
      <w:bookmarkStart w:id="303" w:name="_Toc419106559"/>
      <w:bookmarkStart w:id="304" w:name="_Toc325031938"/>
      <w:bookmarkStart w:id="305" w:name="_Toc525312047"/>
      <w:r>
        <w:rPr>
          <w:rFonts w:hint="eastAsia" w:ascii="宋体-方正超大字符集" w:hAnsi="Times New Roman" w:eastAsia="宋体-方正超大字符集"/>
          <w:color w:val="auto"/>
          <w:sz w:val="32"/>
          <w:highlight w:val="none"/>
        </w:rPr>
        <w:t>评审方法</w:t>
      </w:r>
      <w:bookmarkEnd w:id="281"/>
      <w:bookmarkEnd w:id="282"/>
      <w:bookmarkEnd w:id="283"/>
      <w:bookmarkEnd w:id="284"/>
      <w:r>
        <w:rPr>
          <w:rFonts w:hint="eastAsia" w:ascii="宋体-方正超大字符集" w:hAnsi="Times New Roman" w:eastAsia="宋体-方正超大字符集"/>
          <w:color w:val="auto"/>
          <w:sz w:val="32"/>
          <w:highlight w:val="none"/>
        </w:rPr>
        <w:t>及标准</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numPr>
          <w:ilvl w:val="0"/>
          <w:numId w:val="10"/>
        </w:numPr>
        <w:adjustRightInd w:val="0"/>
        <w:snapToGrid w:val="0"/>
        <w:spacing w:line="360" w:lineRule="auto"/>
        <w:rPr>
          <w:b/>
          <w:sz w:val="24"/>
        </w:rPr>
      </w:pPr>
      <w:bookmarkStart w:id="306" w:name="_Toc5575621"/>
      <w:bookmarkStart w:id="307" w:name="_Toc23044296"/>
      <w:bookmarkStart w:id="308" w:name="_Toc136682904"/>
      <w:bookmarkStart w:id="309" w:name="_Toc20564540"/>
      <w:bookmarkStart w:id="310" w:name="_Toc34704906"/>
      <w:bookmarkStart w:id="311" w:name="_Toc5578684"/>
      <w:bookmarkStart w:id="312" w:name="_Toc159385063"/>
      <w:bookmarkStart w:id="313" w:name="_Toc20564628"/>
      <w:bookmarkStart w:id="314" w:name="_Toc119321139"/>
      <w:bookmarkStart w:id="315" w:name="_Toc20144994"/>
      <w:bookmarkStart w:id="316" w:name="_Toc136662928"/>
      <w:bookmarkStart w:id="317" w:name="_Toc25726403"/>
      <w:bookmarkStart w:id="318" w:name="_Toc25037540"/>
      <w:bookmarkStart w:id="319" w:name="_Toc26261450"/>
      <w:r>
        <w:rPr>
          <w:rFonts w:hint="eastAsia"/>
          <w:b/>
          <w:sz w:val="24"/>
        </w:rPr>
        <w:t>评审方法</w:t>
      </w:r>
      <w:bookmarkEnd w:id="306"/>
      <w:bookmarkEnd w:id="307"/>
      <w:bookmarkEnd w:id="308"/>
      <w:bookmarkEnd w:id="309"/>
      <w:bookmarkEnd w:id="310"/>
      <w:bookmarkEnd w:id="311"/>
      <w:bookmarkEnd w:id="312"/>
      <w:bookmarkEnd w:id="313"/>
      <w:bookmarkEnd w:id="314"/>
      <w:bookmarkEnd w:id="315"/>
      <w:bookmarkEnd w:id="316"/>
    </w:p>
    <w:p>
      <w:pPr>
        <w:numPr>
          <w:ilvl w:val="1"/>
          <w:numId w:val="10"/>
        </w:numPr>
        <w:adjustRightInd w:val="0"/>
        <w:snapToGrid w:val="0"/>
        <w:spacing w:line="360" w:lineRule="auto"/>
      </w:pPr>
      <w:r>
        <w:rPr>
          <w:rFonts w:hint="eastAsia"/>
        </w:rPr>
        <w:t>评审方法：综合评分法。磋商小组将严格按照本磋商文件的评审标准与方法，在符合有效投标范畴且最大限度地满足磋商文件实质性要求前提下，对供应商进行综合评审和独立评分。评审因素评分以该项“满分值”或“分值”为上限，“0”分为下限。如供应商未能按评审标准中的要求提供相关证明材料的，不能获取相应分值。</w:t>
      </w:r>
    </w:p>
    <w:p>
      <w:pPr>
        <w:numPr>
          <w:ilvl w:val="0"/>
          <w:numId w:val="10"/>
        </w:numPr>
        <w:adjustRightInd w:val="0"/>
        <w:snapToGrid w:val="0"/>
        <w:spacing w:line="360" w:lineRule="auto"/>
        <w:rPr>
          <w:b/>
          <w:szCs w:val="21"/>
        </w:rPr>
      </w:pPr>
      <w:r>
        <w:rPr>
          <w:rFonts w:hint="eastAsia"/>
          <w:b/>
          <w:szCs w:val="21"/>
        </w:rPr>
        <w:t>评审标准</w:t>
      </w:r>
    </w:p>
    <w:p>
      <w:pPr>
        <w:tabs>
          <w:tab w:val="left" w:pos="780"/>
        </w:tabs>
        <w:autoSpaceDE w:val="0"/>
        <w:autoSpaceDN w:val="0"/>
        <w:adjustRightInd w:val="0"/>
        <w:snapToGrid w:val="0"/>
        <w:spacing w:line="360" w:lineRule="auto"/>
        <w:jc w:val="left"/>
        <w:rPr>
          <w:rFonts w:ascii="宋体" w:hAnsi="宋体" w:cs="宋体"/>
          <w:b/>
          <w:bCs/>
          <w:szCs w:val="21"/>
        </w:rPr>
      </w:pPr>
      <w:bookmarkStart w:id="320" w:name="_Toc273255368"/>
      <w:bookmarkStart w:id="321" w:name="_Toc324867197"/>
      <w:bookmarkStart w:id="322" w:name="_Toc389489432"/>
      <w:bookmarkStart w:id="323" w:name="_Toc31502"/>
      <w:bookmarkStart w:id="324" w:name="_Toc6200"/>
      <w:bookmarkStart w:id="325" w:name="_Toc14902"/>
      <w:bookmarkStart w:id="326" w:name="_Toc27516"/>
      <w:bookmarkStart w:id="327" w:name="_Toc19849"/>
      <w:bookmarkStart w:id="328" w:name="_Toc29884"/>
      <w:bookmarkStart w:id="329" w:name="_Toc3092"/>
      <w:bookmarkStart w:id="330" w:name="_Toc1834"/>
      <w:bookmarkStart w:id="331" w:name="_Toc19288"/>
      <w:bookmarkStart w:id="332" w:name="_Toc20455"/>
      <w:bookmarkStart w:id="333" w:name="_Toc8358"/>
      <w:r>
        <w:rPr>
          <w:rFonts w:hint="eastAsia" w:ascii="宋体" w:hAnsi="宋体" w:cs="宋体"/>
          <w:b/>
          <w:bCs/>
          <w:szCs w:val="21"/>
        </w:rPr>
        <w:t>权重分配</w:t>
      </w:r>
      <w:bookmarkEnd w:id="320"/>
      <w:bookmarkEnd w:id="321"/>
      <w:bookmarkEnd w:id="322"/>
      <w:r>
        <w:rPr>
          <w:rFonts w:hint="eastAsia" w:ascii="宋体" w:hAnsi="宋体" w:cs="宋体"/>
          <w:b/>
          <w:bCs/>
          <w:szCs w:val="21"/>
        </w:rPr>
        <w:t>（总分100分）</w:t>
      </w:r>
      <w:bookmarkEnd w:id="323"/>
      <w:bookmarkEnd w:id="324"/>
      <w:bookmarkEnd w:id="325"/>
      <w:bookmarkEnd w:id="326"/>
      <w:bookmarkEnd w:id="327"/>
      <w:bookmarkEnd w:id="328"/>
      <w:bookmarkEnd w:id="329"/>
      <w:bookmarkEnd w:id="330"/>
      <w:bookmarkEnd w:id="331"/>
      <w:bookmarkEnd w:id="332"/>
      <w:bookmarkEnd w:id="333"/>
    </w:p>
    <w:tbl>
      <w:tblPr>
        <w:tblStyle w:val="24"/>
        <w:tblW w:w="9540"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0"/>
        <w:gridCol w:w="3134"/>
        <w:gridCol w:w="3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380" w:type="dxa"/>
            <w:shd w:val="clear" w:color="auto" w:fill="F3F3F3"/>
            <w:vAlign w:val="center"/>
          </w:tcPr>
          <w:p>
            <w:pPr>
              <w:adjustRightInd w:val="0"/>
              <w:snapToGrid w:val="0"/>
              <w:spacing w:line="360" w:lineRule="auto"/>
              <w:jc w:val="center"/>
              <w:rPr>
                <w:rFonts w:ascii="宋体" w:hAnsi="宋体" w:cs="宋体"/>
                <w:b/>
                <w:bCs/>
                <w:sz w:val="24"/>
                <w:lang w:val="en-GB"/>
              </w:rPr>
            </w:pPr>
            <w:bookmarkStart w:id="334" w:name="_Toc389489433"/>
            <w:bookmarkStart w:id="335" w:name="_Toc273255369"/>
            <w:bookmarkStart w:id="336" w:name="_Toc324867198"/>
            <w:r>
              <w:rPr>
                <w:rFonts w:hint="eastAsia" w:ascii="宋体" w:hAnsi="宋体" w:cs="宋体"/>
                <w:b/>
                <w:bCs/>
                <w:sz w:val="24"/>
              </w:rPr>
              <w:t>商务部分</w:t>
            </w:r>
          </w:p>
        </w:tc>
        <w:tc>
          <w:tcPr>
            <w:tcW w:w="3134" w:type="dxa"/>
            <w:shd w:val="clear" w:color="auto" w:fill="F3F3F3"/>
            <w:vAlign w:val="center"/>
          </w:tcPr>
          <w:p>
            <w:pPr>
              <w:adjustRightInd w:val="0"/>
              <w:snapToGrid w:val="0"/>
              <w:spacing w:line="360" w:lineRule="auto"/>
              <w:jc w:val="center"/>
              <w:rPr>
                <w:rFonts w:ascii="宋体" w:hAnsi="宋体" w:cs="宋体"/>
                <w:b/>
                <w:bCs/>
                <w:sz w:val="24"/>
                <w:lang w:val="en-GB"/>
              </w:rPr>
            </w:pPr>
            <w:r>
              <w:rPr>
                <w:rFonts w:hint="eastAsia" w:ascii="宋体" w:hAnsi="宋体" w:cs="宋体"/>
                <w:b/>
                <w:bCs/>
                <w:sz w:val="24"/>
              </w:rPr>
              <w:t>技术部分</w:t>
            </w:r>
          </w:p>
        </w:tc>
        <w:tc>
          <w:tcPr>
            <w:tcW w:w="3026" w:type="dxa"/>
            <w:shd w:val="clear" w:color="auto" w:fill="F3F3F3"/>
            <w:vAlign w:val="center"/>
          </w:tcPr>
          <w:p>
            <w:pPr>
              <w:adjustRightInd w:val="0"/>
              <w:snapToGrid w:val="0"/>
              <w:spacing w:line="360" w:lineRule="auto"/>
              <w:jc w:val="center"/>
              <w:rPr>
                <w:rFonts w:ascii="宋体" w:hAnsi="宋体" w:cs="宋体"/>
                <w:b/>
                <w:bCs/>
                <w:sz w:val="24"/>
                <w:lang w:val="en-GB"/>
              </w:rPr>
            </w:pPr>
            <w:r>
              <w:rPr>
                <w:rFonts w:hint="eastAsia" w:ascii="宋体" w:hAnsi="宋体" w:cs="宋体"/>
                <w:b/>
                <w:bCs/>
                <w:sz w:val="24"/>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380" w:type="dxa"/>
            <w:vAlign w:val="center"/>
          </w:tcPr>
          <w:p>
            <w:pPr>
              <w:adjustRightInd w:val="0"/>
              <w:snapToGrid w:val="0"/>
              <w:spacing w:line="360" w:lineRule="auto"/>
              <w:jc w:val="center"/>
              <w:rPr>
                <w:rFonts w:ascii="宋体" w:hAnsi="宋体" w:cs="宋体"/>
                <w:sz w:val="24"/>
                <w:highlight w:val="none"/>
                <w:lang w:val="en-GB"/>
              </w:rPr>
            </w:pPr>
            <w:r>
              <w:rPr>
                <w:rFonts w:hint="eastAsia" w:ascii="宋体" w:hAnsi="宋体" w:cs="宋体"/>
                <w:sz w:val="24"/>
                <w:highlight w:val="none"/>
                <w:lang w:val="en-US" w:eastAsia="zh-CN"/>
              </w:rPr>
              <w:t>30</w:t>
            </w:r>
            <w:r>
              <w:rPr>
                <w:rFonts w:hint="eastAsia" w:ascii="宋体" w:hAnsi="宋体" w:cs="宋体"/>
                <w:sz w:val="24"/>
                <w:highlight w:val="none"/>
              </w:rPr>
              <w:t>%</w:t>
            </w:r>
          </w:p>
        </w:tc>
        <w:tc>
          <w:tcPr>
            <w:tcW w:w="3134" w:type="dxa"/>
            <w:vAlign w:val="center"/>
          </w:tcPr>
          <w:p>
            <w:pPr>
              <w:adjustRightInd w:val="0"/>
              <w:snapToGrid w:val="0"/>
              <w:spacing w:line="360" w:lineRule="auto"/>
              <w:jc w:val="center"/>
              <w:rPr>
                <w:rFonts w:ascii="宋体" w:hAnsi="宋体" w:cs="宋体"/>
                <w:sz w:val="24"/>
                <w:highlight w:val="none"/>
                <w:lang w:val="en-GB"/>
              </w:rPr>
            </w:pPr>
            <w:r>
              <w:rPr>
                <w:rFonts w:hint="eastAsia" w:ascii="宋体" w:hAnsi="宋体" w:cs="宋体"/>
                <w:sz w:val="24"/>
                <w:highlight w:val="none"/>
                <w:lang w:val="en-US" w:eastAsia="zh-CN"/>
              </w:rPr>
              <w:t>50</w:t>
            </w:r>
            <w:r>
              <w:rPr>
                <w:rFonts w:hint="eastAsia" w:ascii="宋体" w:hAnsi="宋体" w:cs="宋体"/>
                <w:sz w:val="24"/>
                <w:highlight w:val="none"/>
              </w:rPr>
              <w:t>%</w:t>
            </w:r>
          </w:p>
        </w:tc>
        <w:tc>
          <w:tcPr>
            <w:tcW w:w="3026" w:type="dxa"/>
            <w:vAlign w:val="center"/>
          </w:tcPr>
          <w:p>
            <w:pPr>
              <w:adjustRightInd w:val="0"/>
              <w:snapToGrid w:val="0"/>
              <w:spacing w:line="360" w:lineRule="auto"/>
              <w:jc w:val="center"/>
              <w:rPr>
                <w:rFonts w:ascii="宋体" w:hAnsi="宋体" w:cs="宋体"/>
                <w:sz w:val="24"/>
                <w:highlight w:val="none"/>
                <w:lang w:val="en-GB"/>
              </w:rPr>
            </w:pPr>
            <w:r>
              <w:rPr>
                <w:rFonts w:hint="eastAsia" w:ascii="宋体" w:hAnsi="宋体" w:cs="宋体"/>
                <w:sz w:val="24"/>
                <w:highlight w:val="none"/>
                <w:lang w:val="en-US" w:eastAsia="zh-CN"/>
              </w:rPr>
              <w:t>20</w:t>
            </w:r>
            <w:r>
              <w:rPr>
                <w:rFonts w:hint="eastAsia" w:ascii="宋体" w:hAnsi="宋体" w:cs="宋体"/>
                <w:sz w:val="24"/>
                <w:highlight w:val="none"/>
              </w:rPr>
              <w:t>%</w:t>
            </w:r>
          </w:p>
        </w:tc>
      </w:tr>
    </w:tbl>
    <w:p>
      <w:pPr>
        <w:tabs>
          <w:tab w:val="left" w:pos="780"/>
        </w:tabs>
        <w:autoSpaceDE w:val="0"/>
        <w:autoSpaceDN w:val="0"/>
        <w:adjustRightInd w:val="0"/>
        <w:snapToGrid w:val="0"/>
        <w:spacing w:line="360" w:lineRule="auto"/>
        <w:jc w:val="left"/>
        <w:rPr>
          <w:rFonts w:ascii="宋体" w:hAnsi="宋体" w:cs="宋体"/>
          <w:b/>
          <w:bCs/>
          <w:sz w:val="24"/>
        </w:rPr>
      </w:pPr>
      <w:bookmarkStart w:id="337" w:name="_Toc9676"/>
      <w:bookmarkStart w:id="338" w:name="_Toc26806"/>
      <w:bookmarkStart w:id="339" w:name="_Toc5666"/>
      <w:bookmarkStart w:id="340" w:name="_Toc762"/>
      <w:bookmarkStart w:id="341" w:name="_Toc4459"/>
      <w:bookmarkStart w:id="342" w:name="_Toc142"/>
      <w:bookmarkStart w:id="343" w:name="_Toc24742"/>
      <w:bookmarkStart w:id="344" w:name="_Toc17062"/>
      <w:bookmarkStart w:id="345" w:name="_Toc14300"/>
      <w:bookmarkStart w:id="346" w:name="_Toc31184"/>
      <w:bookmarkStart w:id="347" w:name="_Toc1839"/>
      <w:bookmarkStart w:id="348" w:name="_Toc1810"/>
    </w:p>
    <w:p>
      <w:pPr>
        <w:tabs>
          <w:tab w:val="left" w:pos="780"/>
        </w:tabs>
        <w:autoSpaceDE w:val="0"/>
        <w:autoSpaceDN w:val="0"/>
        <w:adjustRightInd w:val="0"/>
        <w:snapToGrid w:val="0"/>
        <w:spacing w:line="360" w:lineRule="auto"/>
        <w:jc w:val="left"/>
        <w:rPr>
          <w:rFonts w:ascii="宋体" w:hAnsi="宋体" w:cs="宋体"/>
          <w:b/>
          <w:bCs/>
          <w:sz w:val="24"/>
          <w:lang w:val="en-GB"/>
        </w:rPr>
      </w:pPr>
      <w:r>
        <w:rPr>
          <w:rFonts w:hint="eastAsia" w:ascii="宋体" w:hAnsi="宋体" w:cs="宋体"/>
          <w:b/>
          <w:bCs/>
          <w:sz w:val="24"/>
        </w:rPr>
        <w:t>商务部分（权重</w:t>
      </w:r>
      <w:r>
        <w:rPr>
          <w:rFonts w:hint="eastAsia" w:ascii="宋体" w:hAnsi="宋体" w:cs="宋体"/>
          <w:b/>
          <w:bCs/>
          <w:sz w:val="24"/>
          <w:lang w:val="en-US" w:eastAsia="zh-CN"/>
        </w:rPr>
        <w:t>30</w:t>
      </w:r>
      <w:r>
        <w:rPr>
          <w:rFonts w:hint="eastAsia" w:ascii="宋体" w:hAnsi="宋体" w:cs="宋体"/>
          <w:b/>
          <w:bCs/>
          <w:sz w:val="24"/>
        </w:rPr>
        <w:t>%）</w:t>
      </w:r>
      <w:bookmarkEnd w:id="337"/>
      <w:bookmarkEnd w:id="338"/>
    </w:p>
    <w:tbl>
      <w:tblPr>
        <w:tblStyle w:val="24"/>
        <w:tblW w:w="9544" w:type="dxa"/>
        <w:tblInd w:w="-355"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34"/>
        <w:gridCol w:w="1560"/>
        <w:gridCol w:w="705"/>
        <w:gridCol w:w="6645"/>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tblHeader/>
        </w:trPr>
        <w:tc>
          <w:tcPr>
            <w:tcW w:w="634"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1560"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商务评审因素</w:t>
            </w:r>
          </w:p>
        </w:tc>
        <w:tc>
          <w:tcPr>
            <w:tcW w:w="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满分值</w:t>
            </w:r>
          </w:p>
        </w:tc>
        <w:tc>
          <w:tcPr>
            <w:tcW w:w="66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评分标准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817" w:hRule="atLeast"/>
        </w:trPr>
        <w:tc>
          <w:tcPr>
            <w:tcW w:w="634"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c>
          <w:tcPr>
            <w:tcW w:w="1560"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同类</w:t>
            </w:r>
            <w:r>
              <w:rPr>
                <w:rFonts w:hint="eastAsia" w:ascii="宋体" w:hAnsi="宋体" w:eastAsia="宋体" w:cs="宋体"/>
                <w:sz w:val="21"/>
                <w:szCs w:val="21"/>
              </w:rPr>
              <w:t>项目业绩</w:t>
            </w:r>
          </w:p>
        </w:tc>
        <w:tc>
          <w:tcPr>
            <w:tcW w:w="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default" w:ascii="宋体" w:hAnsi="宋体" w:eastAsia="宋体" w:cs="宋体"/>
                <w:sz w:val="21"/>
                <w:szCs w:val="21"/>
                <w:lang w:val="en-US"/>
              </w:rPr>
            </w:pPr>
            <w:r>
              <w:rPr>
                <w:rFonts w:hint="eastAsia" w:ascii="宋体" w:hAnsi="宋体" w:cs="宋体"/>
                <w:color w:val="000000"/>
                <w:sz w:val="21"/>
                <w:szCs w:val="21"/>
                <w:highlight w:val="none"/>
                <w:lang w:val="en-US" w:eastAsia="zh-CN"/>
              </w:rPr>
              <w:t>15</w:t>
            </w:r>
          </w:p>
        </w:tc>
        <w:tc>
          <w:tcPr>
            <w:tcW w:w="66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自</w:t>
            </w:r>
            <w:r>
              <w:rPr>
                <w:rFonts w:hint="eastAsia" w:ascii="宋体" w:hAnsi="宋体" w:eastAsia="宋体" w:cs="宋体"/>
                <w:sz w:val="21"/>
                <w:szCs w:val="21"/>
                <w:lang w:val="en-US" w:eastAsia="zh-CN"/>
              </w:rPr>
              <w:t>202</w:t>
            </w:r>
            <w:r>
              <w:rPr>
                <w:rFonts w:hint="eastAsia" w:ascii="宋体" w:hAnsi="宋体" w:cs="宋体"/>
                <w:sz w:val="21"/>
                <w:szCs w:val="21"/>
                <w:lang w:val="en-US" w:eastAsia="zh-CN"/>
              </w:rPr>
              <w:t>1</w:t>
            </w:r>
            <w:r>
              <w:rPr>
                <w:rFonts w:hint="eastAsia" w:ascii="宋体" w:hAnsi="宋体" w:eastAsia="宋体" w:cs="宋体"/>
                <w:sz w:val="21"/>
                <w:szCs w:val="21"/>
              </w:rPr>
              <w:t>年</w:t>
            </w:r>
            <w:r>
              <w:rPr>
                <w:rFonts w:hint="eastAsia" w:ascii="宋体" w:hAnsi="宋体" w:eastAsia="宋体" w:cs="宋体"/>
                <w:sz w:val="21"/>
                <w:szCs w:val="21"/>
                <w:lang w:val="en-US" w:eastAsia="zh-CN"/>
              </w:rPr>
              <w:t>1月1日</w:t>
            </w:r>
            <w:r>
              <w:rPr>
                <w:rFonts w:hint="eastAsia" w:ascii="宋体" w:hAnsi="宋体" w:eastAsia="宋体" w:cs="宋体"/>
                <w:sz w:val="21"/>
                <w:szCs w:val="21"/>
              </w:rPr>
              <w:t>至今（以合同签订时间为准）以</w:t>
            </w:r>
            <w:r>
              <w:rPr>
                <w:rFonts w:hint="eastAsia" w:ascii="宋体" w:hAnsi="宋体" w:eastAsia="宋体" w:cs="宋体"/>
                <w:sz w:val="21"/>
                <w:szCs w:val="21"/>
                <w:lang w:eastAsia="zh-CN"/>
              </w:rPr>
              <w:t>供应商</w:t>
            </w:r>
            <w:r>
              <w:rPr>
                <w:rFonts w:hint="eastAsia" w:ascii="宋体" w:hAnsi="宋体" w:eastAsia="宋体" w:cs="宋体"/>
                <w:sz w:val="21"/>
                <w:szCs w:val="21"/>
              </w:rPr>
              <w:t>名义独立</w:t>
            </w:r>
            <w:r>
              <w:rPr>
                <w:rFonts w:hint="eastAsia" w:ascii="宋体" w:hAnsi="宋体" w:eastAsia="宋体" w:cs="宋体"/>
                <w:sz w:val="21"/>
                <w:szCs w:val="21"/>
                <w:lang w:eastAsia="zh-CN"/>
              </w:rPr>
              <w:t>承接</w:t>
            </w:r>
            <w:r>
              <w:rPr>
                <w:rFonts w:hint="eastAsia" w:ascii="宋体" w:hAnsi="宋体" w:eastAsia="宋体" w:cs="宋体"/>
                <w:sz w:val="21"/>
                <w:szCs w:val="21"/>
              </w:rPr>
              <w:t>的</w:t>
            </w:r>
            <w:r>
              <w:rPr>
                <w:rFonts w:hint="eastAsia" w:ascii="宋体" w:hAnsi="宋体" w:eastAsia="宋体" w:cs="宋体"/>
                <w:sz w:val="21"/>
                <w:szCs w:val="21"/>
                <w:lang w:eastAsia="zh-CN"/>
              </w:rPr>
              <w:t>同类</w:t>
            </w:r>
            <w:r>
              <w:rPr>
                <w:rFonts w:hint="eastAsia" w:ascii="宋体" w:hAnsi="宋体" w:cs="宋体"/>
                <w:sz w:val="21"/>
                <w:szCs w:val="21"/>
                <w:lang w:eastAsia="zh-CN"/>
              </w:rPr>
              <w:t>项目</w:t>
            </w:r>
            <w:r>
              <w:rPr>
                <w:rFonts w:hint="eastAsia" w:ascii="宋体" w:hAnsi="宋体" w:eastAsia="宋体" w:cs="宋体"/>
                <w:sz w:val="21"/>
                <w:szCs w:val="21"/>
                <w:lang w:eastAsia="zh-CN"/>
              </w:rPr>
              <w:t>业绩</w:t>
            </w:r>
            <w:r>
              <w:rPr>
                <w:rFonts w:hint="eastAsia" w:ascii="宋体" w:hAnsi="宋体" w:eastAsia="宋体" w:cs="宋体"/>
                <w:sz w:val="21"/>
                <w:szCs w:val="21"/>
              </w:rPr>
              <w:t>，每份业绩计</w:t>
            </w:r>
            <w:r>
              <w:rPr>
                <w:rFonts w:hint="eastAsia" w:ascii="宋体" w:hAnsi="宋体" w:cs="宋体"/>
                <w:sz w:val="21"/>
                <w:szCs w:val="21"/>
                <w:lang w:val="en-US" w:eastAsia="zh-CN"/>
              </w:rPr>
              <w:t>5</w:t>
            </w:r>
            <w:r>
              <w:rPr>
                <w:rFonts w:hint="eastAsia" w:ascii="宋体" w:hAnsi="宋体" w:eastAsia="宋体" w:cs="宋体"/>
                <w:sz w:val="21"/>
                <w:szCs w:val="21"/>
              </w:rPr>
              <w:t>分，满分</w:t>
            </w:r>
            <w:r>
              <w:rPr>
                <w:rFonts w:hint="eastAsia" w:ascii="宋体" w:hAnsi="宋体" w:cs="宋体"/>
                <w:sz w:val="21"/>
                <w:szCs w:val="21"/>
                <w:lang w:val="en-US" w:eastAsia="zh-CN"/>
              </w:rPr>
              <w:t>15</w:t>
            </w:r>
            <w:r>
              <w:rPr>
                <w:rFonts w:hint="eastAsia" w:ascii="宋体" w:hAnsi="宋体" w:eastAsia="宋体" w:cs="宋体"/>
                <w:sz w:val="21"/>
                <w:szCs w:val="21"/>
              </w:rPr>
              <w:t>分。</w:t>
            </w:r>
          </w:p>
          <w:p>
            <w:pPr>
              <w:keepNext w:val="0"/>
              <w:keepLines w:val="0"/>
              <w:pageBreakBefore w:val="0"/>
              <w:widowControl w:val="0"/>
              <w:kinsoku/>
              <w:wordWrap/>
              <w:overflowPunct/>
              <w:topLinePunct w:val="0"/>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注：提供以上业绩对应的合同书关键页（包含但不限于合同名称、</w:t>
            </w:r>
            <w:r>
              <w:rPr>
                <w:rFonts w:hint="eastAsia" w:ascii="宋体" w:hAnsi="宋体" w:eastAsia="宋体" w:cs="宋体"/>
                <w:sz w:val="21"/>
                <w:szCs w:val="21"/>
                <w:lang w:eastAsia="zh-CN"/>
              </w:rPr>
              <w:t>项目主要内容</w:t>
            </w:r>
            <w:r>
              <w:rPr>
                <w:rFonts w:hint="eastAsia" w:ascii="宋体" w:hAnsi="宋体" w:eastAsia="宋体" w:cs="宋体"/>
                <w:sz w:val="21"/>
                <w:szCs w:val="21"/>
              </w:rPr>
              <w:t>、合同金额、合同签订日期以及甲乙双方盖章页）</w:t>
            </w:r>
            <w:r>
              <w:rPr>
                <w:rFonts w:hint="eastAsia" w:ascii="宋体" w:hAnsi="宋体" w:eastAsia="宋体" w:cs="宋体"/>
                <w:sz w:val="21"/>
                <w:szCs w:val="21"/>
                <w:lang w:eastAsia="zh-CN"/>
              </w:rPr>
              <w:t>复印件并加盖供应商公章，不提供不得分</w:t>
            </w:r>
            <w:r>
              <w:rPr>
                <w:rFonts w:hint="eastAsia" w:ascii="宋体" w:hAnsi="宋体" w:eastAsia="宋体" w:cs="宋体"/>
                <w:sz w:val="21"/>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802" w:hRule="atLeast"/>
        </w:trPr>
        <w:tc>
          <w:tcPr>
            <w:tcW w:w="6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sz w:val="21"/>
                <w:szCs w:val="21"/>
                <w:lang w:val="en-US" w:eastAsia="zh-CN"/>
              </w:rPr>
            </w:pPr>
            <w:bookmarkStart w:id="349" w:name="_Toc22748"/>
            <w:bookmarkStart w:id="350" w:name="_Toc2277"/>
            <w:r>
              <w:rPr>
                <w:rFonts w:hint="eastAsia" w:ascii="宋体" w:hAnsi="宋体" w:cs="宋体"/>
                <w:sz w:val="21"/>
                <w:szCs w:val="21"/>
                <w:lang w:val="en-US" w:eastAsia="zh-CN"/>
              </w:rPr>
              <w:t>2</w:t>
            </w:r>
          </w:p>
        </w:tc>
        <w:tc>
          <w:tcPr>
            <w:tcW w:w="1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拟投入本项目人员</w:t>
            </w:r>
          </w:p>
        </w:tc>
        <w:tc>
          <w:tcPr>
            <w:tcW w:w="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9</w:t>
            </w:r>
          </w:p>
        </w:tc>
        <w:tc>
          <w:tcPr>
            <w:tcW w:w="66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根据供应商拟投入本项目的专业人员人员情况进行评审：</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sz w:val="21"/>
                <w:szCs w:val="21"/>
                <w:lang w:val="en-US" w:eastAsia="zh-CN"/>
              </w:rPr>
              <w:t>具有有效的特种作业操作证（电工作业），每提供一人得</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分，最多得</w:t>
            </w:r>
            <w:r>
              <w:rPr>
                <w:rFonts w:hint="eastAsia" w:ascii="宋体" w:hAnsi="宋体" w:cs="宋体"/>
                <w:sz w:val="21"/>
                <w:szCs w:val="21"/>
                <w:lang w:val="en-US" w:eastAsia="zh-CN"/>
              </w:rPr>
              <w:t>9</w:t>
            </w:r>
            <w:r>
              <w:rPr>
                <w:rFonts w:hint="eastAsia" w:ascii="宋体" w:hAnsi="宋体" w:eastAsia="宋体" w:cs="宋体"/>
                <w:sz w:val="21"/>
                <w:szCs w:val="21"/>
                <w:lang w:val="en-US" w:eastAsia="zh-CN"/>
              </w:rPr>
              <w:t>分</w:t>
            </w:r>
            <w:r>
              <w:rPr>
                <w:rFonts w:hint="eastAsia" w:ascii="宋体" w:hAnsi="宋体" w:eastAsia="宋体" w:cs="宋体"/>
                <w:color w:val="00000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w:t>
            </w:r>
            <w:r>
              <w:rPr>
                <w:rFonts w:hint="eastAsia" w:ascii="宋体" w:hAnsi="宋体" w:eastAsia="宋体" w:cs="宋体"/>
                <w:color w:val="000000"/>
                <w:sz w:val="21"/>
                <w:szCs w:val="21"/>
                <w:highlight w:val="none"/>
                <w:lang w:val="en-US" w:eastAsia="zh-CN"/>
              </w:rPr>
              <w:t>.提供上述人员的相关证书复印件</w:t>
            </w:r>
            <w:r>
              <w:rPr>
                <w:rFonts w:hint="eastAsia" w:ascii="宋体" w:hAnsi="宋体" w:cs="宋体"/>
                <w:color w:val="000000"/>
                <w:sz w:val="21"/>
                <w:szCs w:val="21"/>
                <w:highlight w:val="none"/>
                <w:lang w:val="en-US" w:eastAsia="zh-CN"/>
              </w:rPr>
              <w:t>以及</w:t>
            </w:r>
            <w:r>
              <w:rPr>
                <w:rFonts w:hint="eastAsia" w:ascii="宋体" w:hAnsi="宋体" w:cs="宋体"/>
                <w:szCs w:val="21"/>
                <w:lang w:eastAsia="zh-CN"/>
              </w:rPr>
              <w:t>近三个月内任意一个月（扣除响应截止当月）</w:t>
            </w:r>
            <w:r>
              <w:rPr>
                <w:rFonts w:hint="eastAsia"/>
                <w:szCs w:val="21"/>
              </w:rPr>
              <w:t>在本单位购买社会保险或缴纳个人所得税的证明材料复印件并加盖</w:t>
            </w:r>
            <w:r>
              <w:rPr>
                <w:rFonts w:hint="eastAsia"/>
                <w:szCs w:val="21"/>
                <w:lang w:eastAsia="zh-CN"/>
              </w:rPr>
              <w:t>供应商</w:t>
            </w:r>
            <w:r>
              <w:rPr>
                <w:rFonts w:hint="eastAsia"/>
                <w:szCs w:val="21"/>
              </w:rPr>
              <w:t>公章</w:t>
            </w:r>
            <w:r>
              <w:rPr>
                <w:rFonts w:hint="eastAsia" w:ascii="宋体" w:hAnsi="宋体" w:eastAsia="宋体" w:cs="宋体"/>
                <w:color w:val="000000"/>
                <w:sz w:val="21"/>
                <w:szCs w:val="21"/>
                <w:highlight w:val="none"/>
                <w:lang w:val="en-US" w:eastAsia="zh-CN"/>
              </w:rPr>
              <w:t>，不提供不得分</w:t>
            </w:r>
            <w:r>
              <w:rPr>
                <w:rFonts w:hint="eastAsia" w:ascii="宋体" w:hAnsi="宋体" w:cs="宋体"/>
                <w:color w:val="000000"/>
                <w:sz w:val="21"/>
                <w:szCs w:val="21"/>
                <w:highlight w:val="none"/>
                <w:lang w:val="en-US" w:eastAsia="zh-CN"/>
              </w:rPr>
              <w:t>或提供不全不得分。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57" w:hRule="atLeast"/>
        </w:trPr>
        <w:tc>
          <w:tcPr>
            <w:tcW w:w="634"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3</w:t>
            </w:r>
          </w:p>
        </w:tc>
        <w:tc>
          <w:tcPr>
            <w:tcW w:w="1560"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color w:val="000000"/>
                <w:kern w:val="0"/>
                <w:sz w:val="21"/>
                <w:szCs w:val="21"/>
              </w:rPr>
              <w:t>应急响应能力</w:t>
            </w:r>
          </w:p>
        </w:tc>
        <w:tc>
          <w:tcPr>
            <w:tcW w:w="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6</w:t>
            </w:r>
          </w:p>
        </w:tc>
        <w:tc>
          <w:tcPr>
            <w:tcW w:w="66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pacing w:line="360" w:lineRule="auto"/>
              <w:ind w:right="105" w:rightChars="50"/>
              <w:textAlignment w:val="auto"/>
              <w:rPr>
                <w:rFonts w:hint="eastAsia" w:ascii="宋体" w:hAnsi="宋体" w:eastAsia="宋体" w:cs="宋体"/>
                <w:sz w:val="21"/>
                <w:szCs w:val="21"/>
              </w:rPr>
            </w:pPr>
            <w:r>
              <w:rPr>
                <w:rFonts w:hint="eastAsia" w:ascii="宋体" w:hAnsi="宋体" w:eastAsia="宋体" w:cs="宋体"/>
                <w:sz w:val="21"/>
                <w:szCs w:val="21"/>
                <w:lang w:eastAsia="zh-CN"/>
              </w:rPr>
              <w:t>根据供应商</w:t>
            </w:r>
            <w:r>
              <w:rPr>
                <w:rFonts w:hint="eastAsia" w:ascii="宋体" w:hAnsi="宋体" w:eastAsia="宋体" w:cs="宋体"/>
                <w:sz w:val="21"/>
                <w:szCs w:val="21"/>
              </w:rPr>
              <w:t>对项目突发情况的应急</w:t>
            </w:r>
            <w:r>
              <w:rPr>
                <w:rFonts w:hint="eastAsia" w:ascii="宋体" w:hAnsi="宋体" w:eastAsia="宋体" w:cs="宋体"/>
                <w:sz w:val="21"/>
                <w:szCs w:val="21"/>
                <w:lang w:eastAsia="zh-CN"/>
              </w:rPr>
              <w:t>响应承诺进行</w:t>
            </w:r>
            <w:r>
              <w:rPr>
                <w:rFonts w:hint="eastAsia" w:ascii="宋体" w:hAnsi="宋体" w:eastAsia="宋体" w:cs="宋体"/>
                <w:sz w:val="21"/>
                <w:szCs w:val="21"/>
              </w:rPr>
              <w:t>评价：</w:t>
            </w:r>
          </w:p>
          <w:p>
            <w:pPr>
              <w:keepNext w:val="0"/>
              <w:keepLines w:val="0"/>
              <w:pageBreakBefore w:val="0"/>
              <w:widowControl w:val="0"/>
              <w:numPr>
                <w:ilvl w:val="0"/>
                <w:numId w:val="0"/>
              </w:numPr>
              <w:kinsoku/>
              <w:wordWrap/>
              <w:overflowPunct/>
              <w:topLinePunct w:val="0"/>
              <w:bidi w:val="0"/>
              <w:spacing w:line="360" w:lineRule="auto"/>
              <w:ind w:left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1个小时内响应并到达用户单位的，得</w:t>
            </w:r>
            <w:r>
              <w:rPr>
                <w:rFonts w:hint="eastAsia" w:ascii="宋体" w:hAnsi="宋体" w:cs="宋体"/>
                <w:sz w:val="21"/>
                <w:szCs w:val="21"/>
                <w:lang w:val="en-US" w:eastAsia="zh-CN"/>
              </w:rPr>
              <w:t>6</w:t>
            </w:r>
            <w:r>
              <w:rPr>
                <w:rFonts w:hint="eastAsia" w:ascii="宋体" w:hAnsi="宋体" w:eastAsia="宋体" w:cs="宋体"/>
                <w:sz w:val="21"/>
                <w:szCs w:val="21"/>
              </w:rPr>
              <w:t>分；</w:t>
            </w:r>
          </w:p>
          <w:p>
            <w:pPr>
              <w:keepNext w:val="0"/>
              <w:keepLines w:val="0"/>
              <w:pageBreakBefore w:val="0"/>
              <w:widowControl w:val="0"/>
              <w:numPr>
                <w:ilvl w:val="0"/>
                <w:numId w:val="0"/>
              </w:numPr>
              <w:kinsoku/>
              <w:wordWrap/>
              <w:overflowPunct/>
              <w:topLinePunct w:val="0"/>
              <w:bidi w:val="0"/>
              <w:spacing w:line="360" w:lineRule="auto"/>
              <w:ind w:left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2个小时内响应并到达用户单位的，得</w:t>
            </w:r>
            <w:r>
              <w:rPr>
                <w:rFonts w:hint="eastAsia" w:ascii="宋体" w:hAnsi="宋体" w:cs="宋体"/>
                <w:sz w:val="21"/>
                <w:szCs w:val="21"/>
                <w:lang w:val="en-US" w:eastAsia="zh-CN"/>
              </w:rPr>
              <w:t>3</w:t>
            </w:r>
            <w:r>
              <w:rPr>
                <w:rFonts w:hint="eastAsia" w:ascii="宋体" w:hAnsi="宋体" w:eastAsia="宋体" w:cs="宋体"/>
                <w:sz w:val="21"/>
                <w:szCs w:val="21"/>
              </w:rPr>
              <w:t>分；</w:t>
            </w:r>
          </w:p>
          <w:p>
            <w:pPr>
              <w:keepNext w:val="0"/>
              <w:keepLines w:val="0"/>
              <w:pageBreakBefore w:val="0"/>
              <w:widowControl w:val="0"/>
              <w:numPr>
                <w:ilvl w:val="0"/>
                <w:numId w:val="0"/>
              </w:numPr>
              <w:kinsoku/>
              <w:wordWrap/>
              <w:overflowPunct/>
              <w:topLinePunct w:val="0"/>
              <w:bidi w:val="0"/>
              <w:spacing w:line="360" w:lineRule="auto"/>
              <w:ind w:left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3个小时内响应并到达用户单位的，得1分。</w:t>
            </w:r>
          </w:p>
          <w:p>
            <w:pPr>
              <w:pStyle w:val="8"/>
              <w:keepNext w:val="0"/>
              <w:keepLines w:val="0"/>
              <w:pageBreakBefore w:val="0"/>
              <w:widowControl w:val="0"/>
              <w:kinsoku/>
              <w:wordWrap/>
              <w:overflowPunct/>
              <w:topLinePunct w:val="0"/>
              <w:bidi w:val="0"/>
              <w:spacing w:line="36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其他情况不得分。</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sz w:val="21"/>
                <w:szCs w:val="21"/>
              </w:rPr>
            </w:pPr>
            <w:r>
              <w:rPr>
                <w:rFonts w:hint="eastAsia" w:ascii="宋体" w:hAnsi="宋体" w:eastAsia="宋体" w:cs="宋体"/>
                <w:b w:val="0"/>
                <w:bCs/>
                <w:sz w:val="21"/>
                <w:szCs w:val="21"/>
              </w:rPr>
              <w:t>注：</w:t>
            </w:r>
            <w:r>
              <w:rPr>
                <w:rFonts w:hint="eastAsia" w:ascii="宋体" w:hAnsi="宋体" w:eastAsia="宋体" w:cs="宋体"/>
                <w:b w:val="0"/>
                <w:bCs/>
                <w:sz w:val="21"/>
                <w:szCs w:val="21"/>
                <w:lang w:eastAsia="zh-CN"/>
              </w:rPr>
              <w:t>响应地点为佛山市禅城区</w:t>
            </w:r>
            <w:r>
              <w:rPr>
                <w:rFonts w:hint="eastAsia" w:ascii="宋体" w:hAnsi="宋体" w:cs="宋体"/>
                <w:b w:val="0"/>
                <w:bCs/>
                <w:sz w:val="21"/>
                <w:szCs w:val="21"/>
                <w:lang w:val="en-US" w:eastAsia="zh-CN"/>
              </w:rPr>
              <w:t>文化中路45号</w:t>
            </w:r>
            <w:r>
              <w:rPr>
                <w:rFonts w:hint="eastAsia" w:ascii="宋体" w:hAnsi="宋体" w:eastAsia="宋体" w:cs="宋体"/>
                <w:b w:val="0"/>
                <w:bCs/>
                <w:sz w:val="21"/>
                <w:szCs w:val="21"/>
                <w:lang w:eastAsia="zh-CN"/>
              </w:rPr>
              <w:t>，供应商需提供承诺函，</w:t>
            </w:r>
            <w:r>
              <w:rPr>
                <w:rFonts w:hint="eastAsia" w:ascii="宋体" w:hAnsi="宋体" w:eastAsia="宋体" w:cs="宋体"/>
                <w:b w:val="0"/>
                <w:bCs/>
                <w:sz w:val="21"/>
                <w:szCs w:val="21"/>
                <w:highlight w:val="none"/>
                <w:lang w:eastAsia="zh-CN"/>
              </w:rPr>
              <w:t>格式自拟，</w:t>
            </w:r>
            <w:r>
              <w:rPr>
                <w:rFonts w:hint="eastAsia" w:ascii="宋体" w:hAnsi="宋体" w:eastAsia="宋体" w:cs="宋体"/>
                <w:b w:val="0"/>
                <w:bCs/>
                <w:sz w:val="21"/>
                <w:szCs w:val="21"/>
                <w:lang w:eastAsia="zh-CN"/>
              </w:rPr>
              <w:t>并加盖供应商公章，</w:t>
            </w:r>
            <w:r>
              <w:rPr>
                <w:rFonts w:hint="eastAsia" w:ascii="宋体" w:hAnsi="宋体" w:eastAsia="宋体" w:cs="宋体"/>
                <w:b w:val="0"/>
                <w:bCs/>
                <w:sz w:val="21"/>
                <w:szCs w:val="21"/>
                <w:lang w:val="en-US" w:eastAsia="zh-CN"/>
              </w:rPr>
              <w:t>不提供不得分</w:t>
            </w:r>
            <w:r>
              <w:rPr>
                <w:rFonts w:hint="eastAsia" w:ascii="宋体" w:hAnsi="宋体" w:eastAsia="宋体" w:cs="宋体"/>
                <w:b w:val="0"/>
                <w:bCs/>
                <w:sz w:val="21"/>
                <w:szCs w:val="21"/>
                <w:lang w:eastAsia="zh-CN"/>
              </w:rPr>
              <w:t>。</w:t>
            </w:r>
          </w:p>
        </w:tc>
      </w:tr>
    </w:tbl>
    <w:p>
      <w:pPr>
        <w:tabs>
          <w:tab w:val="left" w:pos="780"/>
        </w:tabs>
        <w:autoSpaceDE w:val="0"/>
        <w:autoSpaceDN w:val="0"/>
        <w:adjustRightInd w:val="0"/>
        <w:snapToGrid w:val="0"/>
        <w:spacing w:line="360" w:lineRule="auto"/>
        <w:jc w:val="left"/>
        <w:rPr>
          <w:rFonts w:hint="eastAsia" w:ascii="宋体" w:hAnsi="宋体" w:cs="宋体"/>
          <w:b/>
          <w:bCs/>
          <w:sz w:val="24"/>
        </w:rPr>
      </w:pPr>
    </w:p>
    <w:p>
      <w:pPr>
        <w:tabs>
          <w:tab w:val="left" w:pos="780"/>
        </w:tabs>
        <w:autoSpaceDE w:val="0"/>
        <w:autoSpaceDN w:val="0"/>
        <w:adjustRightInd w:val="0"/>
        <w:snapToGrid w:val="0"/>
        <w:spacing w:line="360" w:lineRule="auto"/>
        <w:jc w:val="left"/>
        <w:rPr>
          <w:rFonts w:ascii="宋体" w:hAnsi="宋体" w:cs="宋体"/>
          <w:b/>
          <w:bCs/>
          <w:sz w:val="24"/>
        </w:rPr>
      </w:pPr>
      <w:r>
        <w:rPr>
          <w:rFonts w:hint="eastAsia" w:ascii="宋体" w:hAnsi="宋体" w:cs="宋体"/>
          <w:b/>
          <w:bCs/>
          <w:sz w:val="24"/>
        </w:rPr>
        <w:t>技术部分（权重</w:t>
      </w:r>
      <w:r>
        <w:rPr>
          <w:rFonts w:hint="eastAsia" w:ascii="宋体" w:hAnsi="宋体" w:cs="宋体"/>
          <w:b/>
          <w:bCs/>
          <w:sz w:val="24"/>
          <w:lang w:val="en-US" w:eastAsia="zh-CN"/>
        </w:rPr>
        <w:t>50</w:t>
      </w:r>
      <w:r>
        <w:rPr>
          <w:rFonts w:hint="eastAsia" w:ascii="宋体" w:hAnsi="宋体" w:cs="宋体"/>
          <w:b/>
          <w:bCs/>
          <w:sz w:val="24"/>
        </w:rPr>
        <w:t>%）</w:t>
      </w:r>
      <w:bookmarkEnd w:id="349"/>
      <w:bookmarkEnd w:id="350"/>
    </w:p>
    <w:tbl>
      <w:tblPr>
        <w:tblStyle w:val="24"/>
        <w:tblW w:w="9649" w:type="dxa"/>
        <w:tblInd w:w="-355"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34"/>
        <w:gridCol w:w="1927"/>
        <w:gridCol w:w="705"/>
        <w:gridCol w:w="638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73" w:hRule="atLeast"/>
          <w:tblHeader/>
        </w:trPr>
        <w:tc>
          <w:tcPr>
            <w:tcW w:w="634"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192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技术评审因素</w:t>
            </w:r>
          </w:p>
        </w:tc>
        <w:tc>
          <w:tcPr>
            <w:tcW w:w="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满分值</w:t>
            </w:r>
          </w:p>
        </w:tc>
        <w:tc>
          <w:tcPr>
            <w:tcW w:w="638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评分标准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97" w:hRule="atLeast"/>
        </w:trPr>
        <w:tc>
          <w:tcPr>
            <w:tcW w:w="634"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192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GB" w:eastAsia="zh-CN"/>
              </w:rPr>
              <w:t>整体</w:t>
            </w:r>
            <w:r>
              <w:rPr>
                <w:rFonts w:hint="eastAsia" w:ascii="宋体" w:hAnsi="宋体" w:eastAsia="宋体" w:cs="宋体"/>
                <w:sz w:val="21"/>
                <w:szCs w:val="21"/>
                <w:lang w:val="en-GB"/>
              </w:rPr>
              <w:t>施工方案</w:t>
            </w:r>
          </w:p>
        </w:tc>
        <w:tc>
          <w:tcPr>
            <w:tcW w:w="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10</w:t>
            </w:r>
          </w:p>
        </w:tc>
        <w:tc>
          <w:tcPr>
            <w:tcW w:w="638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根据供应商</w:t>
            </w:r>
            <w:r>
              <w:rPr>
                <w:rFonts w:hint="eastAsia" w:ascii="宋体" w:hAnsi="宋体" w:eastAsia="宋体" w:cs="宋体"/>
                <w:sz w:val="21"/>
                <w:szCs w:val="21"/>
              </w:rPr>
              <w:t>提供</w:t>
            </w:r>
            <w:r>
              <w:rPr>
                <w:rFonts w:hint="eastAsia" w:ascii="宋体" w:hAnsi="宋体" w:eastAsia="宋体" w:cs="宋体"/>
                <w:sz w:val="21"/>
                <w:szCs w:val="21"/>
                <w:lang w:eastAsia="zh-CN"/>
              </w:rPr>
              <w:t>的</w:t>
            </w:r>
            <w:r>
              <w:rPr>
                <w:rFonts w:hint="eastAsia" w:ascii="宋体" w:hAnsi="宋体" w:eastAsia="宋体" w:cs="宋体"/>
                <w:sz w:val="21"/>
                <w:szCs w:val="21"/>
                <w:lang w:val="en-GB" w:eastAsia="zh-CN"/>
              </w:rPr>
              <w:t>整体施工方案</w:t>
            </w:r>
            <w:r>
              <w:rPr>
                <w:rFonts w:hint="eastAsia" w:ascii="宋体" w:hAnsi="宋体" w:eastAsia="宋体" w:cs="宋体"/>
                <w:sz w:val="21"/>
                <w:szCs w:val="21"/>
              </w:rPr>
              <w:t>（包括</w:t>
            </w:r>
            <w:r>
              <w:rPr>
                <w:rFonts w:hint="eastAsia" w:ascii="宋体" w:hAnsi="宋体" w:eastAsia="宋体" w:cs="宋体"/>
                <w:sz w:val="21"/>
                <w:szCs w:val="21"/>
                <w:lang w:eastAsia="zh-CN"/>
              </w:rPr>
              <w:t>但不限于</w:t>
            </w:r>
            <w:r>
              <w:rPr>
                <w:rFonts w:hint="eastAsia" w:ascii="宋体" w:hAnsi="宋体" w:cs="宋体"/>
                <w:sz w:val="21"/>
                <w:szCs w:val="21"/>
                <w:lang w:eastAsia="zh-CN"/>
              </w:rPr>
              <w:t>工作思路、拆除方案</w:t>
            </w:r>
            <w:r>
              <w:rPr>
                <w:rFonts w:hint="eastAsia" w:ascii="宋体" w:hAnsi="宋体" w:eastAsia="宋体" w:cs="宋体"/>
                <w:sz w:val="21"/>
                <w:szCs w:val="21"/>
              </w:rPr>
              <w:t>等）进行</w:t>
            </w:r>
            <w:r>
              <w:rPr>
                <w:rFonts w:hint="eastAsia" w:ascii="宋体" w:hAnsi="宋体" w:cs="宋体"/>
                <w:sz w:val="21"/>
                <w:szCs w:val="21"/>
                <w:lang w:eastAsia="zh-CN"/>
              </w:rPr>
              <w:t>评审</w:t>
            </w:r>
            <w:r>
              <w:rPr>
                <w:rFonts w:hint="eastAsia" w:ascii="宋体" w:hAnsi="宋体" w:eastAsia="宋体" w:cs="宋体"/>
                <w:sz w:val="21"/>
                <w:szCs w:val="21"/>
              </w:rPr>
              <w:t>：</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1、提供的</w:t>
            </w:r>
            <w:r>
              <w:rPr>
                <w:rFonts w:hint="eastAsia" w:ascii="宋体" w:hAnsi="宋体" w:eastAsia="宋体" w:cs="宋体"/>
                <w:sz w:val="21"/>
                <w:szCs w:val="21"/>
                <w:lang w:val="en-GB" w:eastAsia="zh-CN"/>
              </w:rPr>
              <w:t>整体施工方案</w:t>
            </w:r>
            <w:r>
              <w:rPr>
                <w:rFonts w:hint="eastAsia" w:ascii="宋体" w:hAnsi="宋体" w:eastAsia="宋体" w:cs="宋体"/>
                <w:color w:val="000000"/>
                <w:sz w:val="21"/>
                <w:szCs w:val="21"/>
                <w:lang w:val="en-US" w:eastAsia="zh-CN"/>
              </w:rPr>
              <w:t>全面、具体，对</w:t>
            </w:r>
            <w:r>
              <w:rPr>
                <w:rFonts w:hint="eastAsia" w:ascii="宋体" w:hAnsi="宋体" w:cs="宋体"/>
                <w:sz w:val="21"/>
                <w:szCs w:val="21"/>
                <w:lang w:eastAsia="zh-CN"/>
              </w:rPr>
              <w:t>工作思路、拆除方案</w:t>
            </w:r>
            <w:r>
              <w:rPr>
                <w:rFonts w:hint="eastAsia" w:ascii="宋体" w:hAnsi="宋体" w:eastAsia="宋体" w:cs="宋体"/>
                <w:sz w:val="21"/>
                <w:szCs w:val="21"/>
              </w:rPr>
              <w:t>等</w:t>
            </w:r>
            <w:r>
              <w:rPr>
                <w:rFonts w:hint="eastAsia" w:ascii="宋体" w:hAnsi="宋体" w:eastAsia="宋体" w:cs="宋体"/>
                <w:color w:val="000000"/>
                <w:sz w:val="21"/>
                <w:szCs w:val="21"/>
                <w:lang w:val="en-US" w:eastAsia="zh-CN"/>
              </w:rPr>
              <w:t>均有详尽描述，完全满足或优于采购人需求，有利于项目实施，得</w:t>
            </w:r>
            <w:r>
              <w:rPr>
                <w:rFonts w:hint="eastAsia" w:ascii="宋体" w:hAnsi="宋体" w:cs="宋体"/>
                <w:color w:val="000000"/>
                <w:sz w:val="21"/>
                <w:szCs w:val="21"/>
                <w:lang w:val="en-US" w:eastAsia="zh-CN"/>
              </w:rPr>
              <w:t>10</w:t>
            </w:r>
            <w:r>
              <w:rPr>
                <w:rFonts w:hint="eastAsia" w:ascii="宋体" w:hAnsi="宋体" w:eastAsia="宋体" w:cs="宋体"/>
                <w:color w:val="000000"/>
                <w:sz w:val="21"/>
                <w:szCs w:val="21"/>
                <w:lang w:val="en-US" w:eastAsia="zh-CN"/>
              </w:rPr>
              <w:t>分；</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2</w:t>
            </w:r>
            <w:r>
              <w:rPr>
                <w:rFonts w:hint="eastAsia" w:ascii="宋体" w:hAnsi="宋体" w:eastAsia="宋体" w:cs="宋体"/>
                <w:color w:val="000000"/>
                <w:sz w:val="21"/>
                <w:szCs w:val="21"/>
                <w:lang w:val="en-US" w:eastAsia="zh-CN"/>
              </w:rPr>
              <w:t>、提供的</w:t>
            </w:r>
            <w:r>
              <w:rPr>
                <w:rFonts w:hint="eastAsia" w:ascii="宋体" w:hAnsi="宋体" w:eastAsia="宋体" w:cs="宋体"/>
                <w:sz w:val="21"/>
                <w:szCs w:val="21"/>
                <w:lang w:val="en-GB" w:eastAsia="zh-CN"/>
              </w:rPr>
              <w:t>整体施工方案</w:t>
            </w:r>
            <w:r>
              <w:rPr>
                <w:rFonts w:hint="eastAsia" w:ascii="宋体" w:hAnsi="宋体" w:eastAsia="宋体" w:cs="宋体"/>
                <w:color w:val="000000"/>
                <w:sz w:val="21"/>
                <w:szCs w:val="21"/>
                <w:lang w:val="en-US" w:eastAsia="zh-CN"/>
              </w:rPr>
              <w:t>基本全面，对</w:t>
            </w:r>
            <w:r>
              <w:rPr>
                <w:rFonts w:hint="eastAsia" w:ascii="宋体" w:hAnsi="宋体" w:cs="宋体"/>
                <w:sz w:val="21"/>
                <w:szCs w:val="21"/>
                <w:lang w:eastAsia="zh-CN"/>
              </w:rPr>
              <w:t>工作思路、拆除方案</w:t>
            </w:r>
            <w:r>
              <w:rPr>
                <w:rFonts w:hint="eastAsia" w:ascii="宋体" w:hAnsi="宋体" w:eastAsia="宋体" w:cs="宋体"/>
                <w:color w:val="000000"/>
                <w:sz w:val="21"/>
                <w:szCs w:val="21"/>
                <w:lang w:val="en-US" w:eastAsia="zh-CN"/>
              </w:rPr>
              <w:t>有基本描述，基本满足采购人需求，得</w:t>
            </w:r>
            <w:r>
              <w:rPr>
                <w:rFonts w:hint="eastAsia" w:ascii="宋体" w:hAnsi="宋体" w:cs="宋体"/>
                <w:color w:val="000000"/>
                <w:sz w:val="21"/>
                <w:szCs w:val="21"/>
                <w:lang w:val="en-US" w:eastAsia="zh-CN"/>
              </w:rPr>
              <w:t>7</w:t>
            </w:r>
            <w:r>
              <w:rPr>
                <w:rFonts w:hint="eastAsia" w:ascii="宋体" w:hAnsi="宋体" w:eastAsia="宋体" w:cs="宋体"/>
                <w:color w:val="000000"/>
                <w:sz w:val="21"/>
                <w:szCs w:val="21"/>
                <w:lang w:val="en-US" w:eastAsia="zh-CN"/>
              </w:rPr>
              <w:t>分；</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val="en-US" w:eastAsia="zh-CN"/>
              </w:rPr>
              <w:t>、提供的</w:t>
            </w:r>
            <w:r>
              <w:rPr>
                <w:rFonts w:hint="eastAsia" w:ascii="宋体" w:hAnsi="宋体" w:eastAsia="宋体" w:cs="宋体"/>
                <w:sz w:val="21"/>
                <w:szCs w:val="21"/>
                <w:lang w:val="en-GB" w:eastAsia="zh-CN"/>
              </w:rPr>
              <w:t>整体施工方案</w:t>
            </w:r>
            <w:r>
              <w:rPr>
                <w:rFonts w:hint="eastAsia" w:ascii="宋体" w:hAnsi="宋体" w:eastAsia="宋体" w:cs="宋体"/>
                <w:color w:val="000000"/>
                <w:sz w:val="21"/>
                <w:szCs w:val="21"/>
                <w:lang w:val="en-US" w:eastAsia="zh-CN"/>
              </w:rPr>
              <w:t>简单，对</w:t>
            </w:r>
            <w:r>
              <w:rPr>
                <w:rFonts w:hint="eastAsia" w:ascii="宋体" w:hAnsi="宋体" w:cs="宋体"/>
                <w:sz w:val="21"/>
                <w:szCs w:val="21"/>
                <w:lang w:eastAsia="zh-CN"/>
              </w:rPr>
              <w:t>工作思路、拆除方案</w:t>
            </w:r>
            <w:r>
              <w:rPr>
                <w:rFonts w:hint="eastAsia" w:ascii="宋体" w:hAnsi="宋体" w:eastAsia="宋体" w:cs="宋体"/>
                <w:sz w:val="21"/>
                <w:szCs w:val="21"/>
              </w:rPr>
              <w:t>等</w:t>
            </w:r>
            <w:r>
              <w:rPr>
                <w:rFonts w:hint="eastAsia" w:ascii="宋体" w:hAnsi="宋体" w:eastAsia="宋体" w:cs="宋体"/>
                <w:color w:val="000000"/>
                <w:sz w:val="21"/>
                <w:szCs w:val="21"/>
                <w:lang w:val="en-US" w:eastAsia="zh-CN"/>
              </w:rPr>
              <w:t>有简单描述，部分满足采购人需求，得</w:t>
            </w:r>
            <w:r>
              <w:rPr>
                <w:rFonts w:hint="eastAsia" w:ascii="宋体" w:hAnsi="宋体" w:cs="宋体"/>
                <w:color w:val="000000"/>
                <w:sz w:val="21"/>
                <w:szCs w:val="21"/>
                <w:lang w:val="en-US" w:eastAsia="zh-CN"/>
              </w:rPr>
              <w:t>4</w:t>
            </w:r>
            <w:r>
              <w:rPr>
                <w:rFonts w:hint="eastAsia" w:ascii="宋体" w:hAnsi="宋体" w:eastAsia="宋体" w:cs="宋体"/>
                <w:color w:val="000000"/>
                <w:sz w:val="21"/>
                <w:szCs w:val="21"/>
                <w:lang w:val="en-US" w:eastAsia="zh-CN"/>
              </w:rPr>
              <w:t>分；</w:t>
            </w:r>
          </w:p>
          <w:p>
            <w:pPr>
              <w:keepNext w:val="0"/>
              <w:keepLines w:val="0"/>
              <w:pageBreakBefore w:val="0"/>
              <w:widowControl w:val="0"/>
              <w:kinsoku/>
              <w:wordWrap/>
              <w:overflowPunct/>
              <w:topLinePunct w:val="0"/>
              <w:bidi w:val="0"/>
              <w:spacing w:line="360" w:lineRule="auto"/>
              <w:jc w:val="left"/>
              <w:textAlignment w:val="auto"/>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4、</w:t>
            </w:r>
            <w:r>
              <w:rPr>
                <w:rFonts w:hint="eastAsia" w:ascii="宋体" w:hAnsi="宋体" w:eastAsia="宋体" w:cs="宋体"/>
                <w:color w:val="000000"/>
                <w:sz w:val="21"/>
                <w:szCs w:val="21"/>
                <w:lang w:val="en-US" w:eastAsia="zh-CN"/>
              </w:rPr>
              <w:t>提供的</w:t>
            </w:r>
            <w:r>
              <w:rPr>
                <w:rFonts w:hint="eastAsia" w:ascii="宋体" w:hAnsi="宋体" w:eastAsia="宋体" w:cs="宋体"/>
                <w:sz w:val="21"/>
                <w:szCs w:val="21"/>
                <w:lang w:val="en-GB" w:eastAsia="zh-CN"/>
              </w:rPr>
              <w:t>施工方案</w:t>
            </w:r>
            <w:r>
              <w:rPr>
                <w:rFonts w:hint="eastAsia" w:ascii="宋体" w:hAnsi="宋体" w:cs="宋体"/>
                <w:color w:val="000000"/>
                <w:sz w:val="21"/>
                <w:szCs w:val="21"/>
                <w:lang w:val="en-US" w:eastAsia="zh-CN"/>
              </w:rPr>
              <w:t>简单</w:t>
            </w:r>
            <w:r>
              <w:rPr>
                <w:rFonts w:hint="eastAsia" w:ascii="宋体" w:hAnsi="宋体" w:eastAsia="宋体" w:cs="宋体"/>
                <w:color w:val="000000"/>
                <w:sz w:val="21"/>
                <w:szCs w:val="21"/>
                <w:lang w:val="en-US" w:eastAsia="zh-CN"/>
              </w:rPr>
              <w:t>，对</w:t>
            </w:r>
            <w:r>
              <w:rPr>
                <w:rFonts w:hint="eastAsia" w:ascii="宋体" w:hAnsi="宋体" w:cs="宋体"/>
                <w:sz w:val="21"/>
                <w:szCs w:val="21"/>
                <w:lang w:eastAsia="zh-CN"/>
              </w:rPr>
              <w:t>工作思路、拆除方案</w:t>
            </w:r>
            <w:r>
              <w:rPr>
                <w:rFonts w:hint="eastAsia" w:ascii="宋体" w:hAnsi="宋体" w:eastAsia="宋体" w:cs="宋体"/>
                <w:sz w:val="21"/>
                <w:szCs w:val="21"/>
              </w:rPr>
              <w:t>等</w:t>
            </w:r>
            <w:r>
              <w:rPr>
                <w:rFonts w:hint="eastAsia" w:ascii="宋体" w:hAnsi="宋体" w:cs="宋体"/>
                <w:color w:val="000000"/>
                <w:sz w:val="21"/>
                <w:szCs w:val="21"/>
                <w:lang w:val="en-US" w:eastAsia="zh-CN"/>
              </w:rPr>
              <w:t>没有</w:t>
            </w:r>
            <w:r>
              <w:rPr>
                <w:rFonts w:hint="eastAsia" w:ascii="宋体" w:hAnsi="宋体" w:eastAsia="宋体" w:cs="宋体"/>
                <w:color w:val="000000"/>
                <w:sz w:val="21"/>
                <w:szCs w:val="21"/>
                <w:lang w:val="en-US" w:eastAsia="zh-CN"/>
              </w:rPr>
              <w:t>描述，</w:t>
            </w:r>
            <w:r>
              <w:rPr>
                <w:rFonts w:hint="eastAsia" w:ascii="宋体" w:hAnsi="宋体" w:cs="宋体"/>
                <w:color w:val="000000"/>
                <w:sz w:val="21"/>
                <w:szCs w:val="21"/>
                <w:lang w:val="en-US" w:eastAsia="zh-CN"/>
              </w:rPr>
              <w:t>不能</w:t>
            </w:r>
            <w:r>
              <w:rPr>
                <w:rFonts w:hint="eastAsia" w:ascii="宋体" w:hAnsi="宋体" w:eastAsia="宋体" w:cs="宋体"/>
                <w:color w:val="000000"/>
                <w:sz w:val="21"/>
                <w:szCs w:val="21"/>
                <w:lang w:val="en-US" w:eastAsia="zh-CN"/>
              </w:rPr>
              <w:t>满足采购人需求，得</w:t>
            </w:r>
            <w:r>
              <w:rPr>
                <w:rFonts w:hint="eastAsia" w:ascii="宋体" w:hAnsi="宋体" w:cs="宋体"/>
                <w:color w:val="000000"/>
                <w:sz w:val="21"/>
                <w:szCs w:val="21"/>
                <w:lang w:val="en-US" w:eastAsia="zh-CN"/>
              </w:rPr>
              <w:t>1</w:t>
            </w:r>
            <w:r>
              <w:rPr>
                <w:rFonts w:hint="eastAsia" w:ascii="宋体" w:hAnsi="宋体" w:eastAsia="宋体" w:cs="宋体"/>
                <w:color w:val="000000"/>
                <w:sz w:val="21"/>
                <w:szCs w:val="21"/>
                <w:lang w:val="en-US" w:eastAsia="zh-CN"/>
              </w:rPr>
              <w:t>分；</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lang w:eastAsia="zh-CN"/>
              </w:rPr>
              <w:t>其他情况</w:t>
            </w:r>
            <w:r>
              <w:rPr>
                <w:rFonts w:hint="eastAsia" w:ascii="宋体" w:hAnsi="宋体" w:eastAsia="宋体" w:cs="宋体"/>
                <w:color w:val="000000"/>
                <w:sz w:val="21"/>
                <w:szCs w:val="21"/>
              </w:rPr>
              <w:t>或不提供方案不得分。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97" w:hRule="atLeast"/>
        </w:trPr>
        <w:tc>
          <w:tcPr>
            <w:tcW w:w="634"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w:t>
            </w:r>
          </w:p>
        </w:tc>
        <w:tc>
          <w:tcPr>
            <w:tcW w:w="192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eastAsia" w:ascii="宋体" w:hAnsi="宋体" w:eastAsia="宋体" w:cs="宋体"/>
                <w:sz w:val="21"/>
                <w:szCs w:val="21"/>
                <w:lang w:val="en-GB" w:eastAsia="zh-CN"/>
              </w:rPr>
            </w:pPr>
            <w:r>
              <w:rPr>
                <w:rFonts w:hint="eastAsia" w:ascii="宋体" w:hAnsi="宋体" w:eastAsia="宋体" w:cs="宋体"/>
                <w:sz w:val="21"/>
                <w:szCs w:val="21"/>
                <w:lang w:val="en-GB" w:eastAsia="zh-CN"/>
              </w:rPr>
              <w:t>进度控制方案</w:t>
            </w:r>
          </w:p>
        </w:tc>
        <w:tc>
          <w:tcPr>
            <w:tcW w:w="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default" w:ascii="宋体" w:hAnsi="宋体" w:cs="宋体"/>
                <w:sz w:val="21"/>
                <w:szCs w:val="21"/>
                <w:lang w:val="en-US" w:eastAsia="zh-CN"/>
              </w:rPr>
            </w:pPr>
            <w:r>
              <w:rPr>
                <w:rFonts w:hint="eastAsia" w:ascii="宋体" w:hAnsi="宋体" w:cs="宋体"/>
                <w:sz w:val="21"/>
                <w:szCs w:val="21"/>
                <w:lang w:val="en-US" w:eastAsia="zh-CN"/>
              </w:rPr>
              <w:t>10</w:t>
            </w:r>
          </w:p>
        </w:tc>
        <w:tc>
          <w:tcPr>
            <w:tcW w:w="638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根据供应商对本项目施工进度方案关键环节、进度计划进行</w:t>
            </w:r>
            <w:r>
              <w:rPr>
                <w:rFonts w:hint="eastAsia" w:ascii="宋体" w:hAnsi="宋体" w:cs="宋体"/>
                <w:color w:val="000000"/>
                <w:sz w:val="21"/>
                <w:szCs w:val="21"/>
                <w:lang w:val="en-US" w:eastAsia="zh-CN"/>
              </w:rPr>
              <w:t>评审</w:t>
            </w:r>
            <w:r>
              <w:rPr>
                <w:rFonts w:hint="eastAsia" w:ascii="宋体" w:hAnsi="宋体" w:eastAsia="宋体" w:cs="宋体"/>
                <w:color w:val="000000"/>
                <w:sz w:val="21"/>
                <w:szCs w:val="21"/>
                <w:lang w:val="en-US" w:eastAsia="zh-CN"/>
              </w:rPr>
              <w:t xml:space="preserve">： </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1、施工进度方案关键环节清晰、准确、科学，进度计划合理，提前完成工作的，得</w:t>
            </w:r>
            <w:r>
              <w:rPr>
                <w:rFonts w:hint="eastAsia" w:ascii="宋体" w:hAnsi="宋体" w:cs="宋体"/>
                <w:color w:val="000000"/>
                <w:sz w:val="21"/>
                <w:szCs w:val="21"/>
                <w:lang w:val="en-US" w:eastAsia="zh-CN"/>
              </w:rPr>
              <w:t>10</w:t>
            </w:r>
            <w:r>
              <w:rPr>
                <w:rFonts w:hint="eastAsia" w:ascii="宋体" w:hAnsi="宋体" w:eastAsia="宋体" w:cs="宋体"/>
                <w:color w:val="000000"/>
                <w:sz w:val="21"/>
                <w:szCs w:val="21"/>
                <w:lang w:val="en-US" w:eastAsia="zh-CN"/>
              </w:rPr>
              <w:t>分；</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2、施工进度方案关键环节准确、合理，进度满足磋商文件要求的，得</w:t>
            </w:r>
            <w:r>
              <w:rPr>
                <w:rFonts w:hint="eastAsia" w:ascii="宋体" w:hAnsi="宋体" w:cs="宋体"/>
                <w:color w:val="000000"/>
                <w:sz w:val="21"/>
                <w:szCs w:val="21"/>
                <w:lang w:val="en-US" w:eastAsia="zh-CN"/>
              </w:rPr>
              <w:t>7</w:t>
            </w:r>
            <w:r>
              <w:rPr>
                <w:rFonts w:hint="eastAsia" w:ascii="宋体" w:hAnsi="宋体" w:eastAsia="宋体" w:cs="宋体"/>
                <w:color w:val="000000"/>
                <w:sz w:val="21"/>
                <w:szCs w:val="21"/>
                <w:lang w:val="en-US" w:eastAsia="zh-CN"/>
              </w:rPr>
              <w:t xml:space="preserve">分； </w:t>
            </w:r>
          </w:p>
          <w:p>
            <w:pPr>
              <w:keepNext w:val="0"/>
              <w:keepLines w:val="0"/>
              <w:pageBreakBefore w:val="0"/>
              <w:widowControl w:val="0"/>
              <w:kinsoku/>
              <w:wordWrap/>
              <w:overflowPunct/>
              <w:topLinePunct w:val="0"/>
              <w:bidi w:val="0"/>
              <w:spacing w:line="360" w:lineRule="auto"/>
              <w:jc w:val="left"/>
              <w:textAlignment w:val="auto"/>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val="en-US" w:eastAsia="zh-CN"/>
              </w:rPr>
              <w:t>施工进度方案关键环节</w:t>
            </w:r>
            <w:r>
              <w:rPr>
                <w:rFonts w:hint="eastAsia" w:ascii="宋体" w:hAnsi="宋体" w:cs="宋体"/>
                <w:color w:val="000000"/>
                <w:sz w:val="21"/>
                <w:szCs w:val="21"/>
                <w:lang w:val="en-US" w:eastAsia="zh-CN"/>
              </w:rPr>
              <w:t>较为</w:t>
            </w:r>
            <w:r>
              <w:rPr>
                <w:rFonts w:hint="eastAsia" w:ascii="宋体" w:hAnsi="宋体" w:eastAsia="宋体" w:cs="宋体"/>
                <w:color w:val="000000"/>
                <w:sz w:val="21"/>
                <w:szCs w:val="21"/>
                <w:lang w:val="en-US" w:eastAsia="zh-CN"/>
              </w:rPr>
              <w:t>合理，进度</w:t>
            </w:r>
            <w:r>
              <w:rPr>
                <w:rFonts w:hint="eastAsia" w:ascii="宋体" w:hAnsi="宋体" w:cs="宋体"/>
                <w:color w:val="000000"/>
                <w:sz w:val="21"/>
                <w:szCs w:val="21"/>
                <w:lang w:val="en-US" w:eastAsia="zh-CN"/>
              </w:rPr>
              <w:t>基本</w:t>
            </w:r>
            <w:r>
              <w:rPr>
                <w:rFonts w:hint="eastAsia" w:ascii="宋体" w:hAnsi="宋体" w:eastAsia="宋体" w:cs="宋体"/>
                <w:color w:val="000000"/>
                <w:sz w:val="21"/>
                <w:szCs w:val="21"/>
                <w:lang w:val="en-US" w:eastAsia="zh-CN"/>
              </w:rPr>
              <w:t>满足磋商文件要求的，得</w:t>
            </w:r>
            <w:r>
              <w:rPr>
                <w:rFonts w:hint="eastAsia" w:ascii="宋体" w:hAnsi="宋体" w:cs="宋体"/>
                <w:color w:val="000000"/>
                <w:sz w:val="21"/>
                <w:szCs w:val="21"/>
                <w:lang w:val="en-US" w:eastAsia="zh-CN"/>
              </w:rPr>
              <w:t>4</w:t>
            </w:r>
            <w:r>
              <w:rPr>
                <w:rFonts w:hint="eastAsia" w:ascii="宋体" w:hAnsi="宋体" w:eastAsia="宋体" w:cs="宋体"/>
                <w:color w:val="000000"/>
                <w:sz w:val="21"/>
                <w:szCs w:val="21"/>
                <w:lang w:val="en-US" w:eastAsia="zh-CN"/>
              </w:rPr>
              <w:t>分；</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4</w:t>
            </w:r>
            <w:r>
              <w:rPr>
                <w:rFonts w:hint="eastAsia" w:ascii="宋体" w:hAnsi="宋体" w:eastAsia="宋体" w:cs="宋体"/>
                <w:color w:val="000000"/>
                <w:sz w:val="21"/>
                <w:szCs w:val="21"/>
                <w:lang w:val="en-US" w:eastAsia="zh-CN"/>
              </w:rPr>
              <w:t>、施工进度方案存在不清晰或不够科学合理，进度计划不能满足磋商文件要求的，得</w:t>
            </w:r>
            <w:r>
              <w:rPr>
                <w:rFonts w:hint="eastAsia" w:ascii="宋体" w:hAnsi="宋体" w:cs="宋体"/>
                <w:color w:val="000000"/>
                <w:sz w:val="21"/>
                <w:szCs w:val="21"/>
                <w:lang w:val="en-US" w:eastAsia="zh-CN"/>
              </w:rPr>
              <w:t>1</w:t>
            </w:r>
            <w:r>
              <w:rPr>
                <w:rFonts w:hint="eastAsia" w:ascii="宋体" w:hAnsi="宋体" w:eastAsia="宋体" w:cs="宋体"/>
                <w:color w:val="000000"/>
                <w:sz w:val="21"/>
                <w:szCs w:val="21"/>
                <w:lang w:val="en-US" w:eastAsia="zh-CN"/>
              </w:rPr>
              <w:t xml:space="preserve">分。 </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en-US" w:eastAsia="zh-CN"/>
              </w:rPr>
              <w:t>、其他情况或不提供方案不得分。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97" w:hRule="atLeast"/>
        </w:trPr>
        <w:tc>
          <w:tcPr>
            <w:tcW w:w="634"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default" w:ascii="宋体" w:hAnsi="宋体" w:cs="宋体"/>
                <w:sz w:val="21"/>
                <w:szCs w:val="21"/>
                <w:lang w:val="en-US" w:eastAsia="zh-CN"/>
              </w:rPr>
            </w:pPr>
            <w:r>
              <w:rPr>
                <w:rFonts w:hint="eastAsia" w:ascii="宋体" w:hAnsi="宋体" w:cs="宋体"/>
                <w:sz w:val="21"/>
                <w:szCs w:val="21"/>
                <w:lang w:val="en-US" w:eastAsia="zh-CN"/>
              </w:rPr>
              <w:t>3</w:t>
            </w:r>
          </w:p>
        </w:tc>
        <w:tc>
          <w:tcPr>
            <w:tcW w:w="192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eastAsia" w:ascii="宋体" w:hAnsi="宋体" w:eastAsia="宋体" w:cs="宋体"/>
                <w:sz w:val="21"/>
                <w:szCs w:val="21"/>
                <w:lang w:val="en-GB" w:eastAsia="zh-CN"/>
              </w:rPr>
            </w:pPr>
            <w:r>
              <w:rPr>
                <w:rFonts w:hint="eastAsia" w:ascii="宋体" w:hAnsi="宋体" w:eastAsia="宋体" w:cs="宋体"/>
                <w:sz w:val="21"/>
                <w:szCs w:val="21"/>
                <w:lang w:val="en-GB" w:eastAsia="zh-CN"/>
              </w:rPr>
              <w:t>工程施工重点难点认识</w:t>
            </w:r>
          </w:p>
        </w:tc>
        <w:tc>
          <w:tcPr>
            <w:tcW w:w="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default" w:ascii="宋体" w:hAnsi="宋体" w:cs="宋体"/>
                <w:sz w:val="21"/>
                <w:szCs w:val="21"/>
                <w:lang w:val="en-US" w:eastAsia="zh-CN"/>
              </w:rPr>
            </w:pPr>
            <w:r>
              <w:rPr>
                <w:rFonts w:hint="eastAsia" w:ascii="宋体" w:hAnsi="宋体" w:cs="宋体"/>
                <w:sz w:val="21"/>
                <w:szCs w:val="21"/>
                <w:lang w:val="en-US" w:eastAsia="zh-CN"/>
              </w:rPr>
              <w:t>10</w:t>
            </w:r>
          </w:p>
        </w:tc>
        <w:tc>
          <w:tcPr>
            <w:tcW w:w="638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根据供应商对本项目施工重点难点认识（包含但不限于项目场所特点、施工条件、对重难点制定的对策等内容）进行评审：</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1、能很好结合项目场所特点、施工条件，重点难点分析针对性强、措施具体，并对本项目工程重点、难点理解透彻，制定相应对策的针对性很强、可行性很好的，得</w:t>
            </w:r>
            <w:r>
              <w:rPr>
                <w:rFonts w:hint="eastAsia" w:ascii="宋体" w:hAnsi="宋体" w:cs="宋体"/>
                <w:color w:val="000000"/>
                <w:sz w:val="21"/>
                <w:szCs w:val="21"/>
                <w:lang w:val="en-US" w:eastAsia="zh-CN"/>
              </w:rPr>
              <w:t>10</w:t>
            </w:r>
            <w:r>
              <w:rPr>
                <w:rFonts w:hint="eastAsia" w:ascii="宋体" w:hAnsi="宋体" w:eastAsia="宋体" w:cs="宋体"/>
                <w:color w:val="000000"/>
                <w:sz w:val="21"/>
                <w:szCs w:val="21"/>
                <w:lang w:val="en-US" w:eastAsia="zh-CN"/>
              </w:rPr>
              <w:t>分；</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2、能很好结合项目场所特点、施工条件，重点难点分析针对性较好、措施较好、可操作较好的，得</w:t>
            </w:r>
            <w:r>
              <w:rPr>
                <w:rFonts w:hint="eastAsia" w:ascii="宋体" w:hAnsi="宋体" w:cs="宋体"/>
                <w:color w:val="000000"/>
                <w:sz w:val="21"/>
                <w:szCs w:val="21"/>
                <w:lang w:val="en-US" w:eastAsia="zh-CN"/>
              </w:rPr>
              <w:t>7</w:t>
            </w:r>
            <w:r>
              <w:rPr>
                <w:rFonts w:hint="eastAsia" w:ascii="宋体" w:hAnsi="宋体" w:eastAsia="宋体" w:cs="宋体"/>
                <w:color w:val="000000"/>
                <w:sz w:val="21"/>
                <w:szCs w:val="21"/>
                <w:lang w:val="en-US" w:eastAsia="zh-CN"/>
              </w:rPr>
              <w:t>分；</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3、重点难点分析针对性一般、措施一般、可操作一般的，</w:t>
            </w:r>
            <w:r>
              <w:rPr>
                <w:rFonts w:hint="eastAsia" w:ascii="宋体" w:hAnsi="宋体" w:cs="宋体"/>
                <w:color w:val="000000"/>
                <w:sz w:val="21"/>
                <w:szCs w:val="21"/>
                <w:lang w:val="en-US" w:eastAsia="zh-CN"/>
              </w:rPr>
              <w:t>4</w:t>
            </w:r>
            <w:r>
              <w:rPr>
                <w:rFonts w:hint="eastAsia" w:ascii="宋体" w:hAnsi="宋体" w:eastAsia="宋体" w:cs="宋体"/>
                <w:color w:val="000000"/>
                <w:sz w:val="21"/>
                <w:szCs w:val="21"/>
                <w:lang w:val="en-US" w:eastAsia="zh-CN"/>
              </w:rPr>
              <w:t>分；</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4、重点难点分析差、措施差、可操作差的，1分。</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cs="宋体"/>
                <w:color w:val="000000"/>
                <w:sz w:val="21"/>
                <w:szCs w:val="21"/>
                <w:lang w:val="en-US" w:eastAsia="zh-CN"/>
              </w:rPr>
            </w:pPr>
            <w:r>
              <w:rPr>
                <w:rFonts w:hint="eastAsia" w:ascii="宋体" w:hAnsi="宋体" w:eastAsia="宋体" w:cs="宋体"/>
                <w:color w:val="000000"/>
                <w:sz w:val="21"/>
                <w:szCs w:val="21"/>
                <w:lang w:val="en-US" w:eastAsia="zh-CN"/>
              </w:rPr>
              <w:t>5、其他情况或不提供方案不得分。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97" w:hRule="atLeast"/>
        </w:trPr>
        <w:tc>
          <w:tcPr>
            <w:tcW w:w="634"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4</w:t>
            </w:r>
          </w:p>
        </w:tc>
        <w:tc>
          <w:tcPr>
            <w:tcW w:w="1927" w:type="dxa"/>
            <w:tcBorders>
              <w:top w:val="single" w:color="auto" w:sz="6" w:space="0"/>
              <w:left w:val="single" w:color="auto" w:sz="4" w:space="0"/>
              <w:bottom w:val="single" w:color="auto" w:sz="6" w:space="0"/>
              <w:right w:val="single" w:color="auto" w:sz="6" w:space="0"/>
            </w:tcBorders>
            <w:vAlign w:val="center"/>
          </w:tcPr>
          <w:p>
            <w:pPr>
              <w:pStyle w:val="29"/>
              <w:keepNext w:val="0"/>
              <w:keepLines w:val="0"/>
              <w:pageBreakBefore w:val="0"/>
              <w:widowControl w:val="0"/>
              <w:tabs>
                <w:tab w:val="center" w:pos="4153"/>
                <w:tab w:val="right" w:pos="8306"/>
              </w:tabs>
              <w:kinsoku/>
              <w:wordWrap/>
              <w:overflowPunct/>
              <w:topLinePunct w:val="0"/>
              <w:bidi w:val="0"/>
              <w:spacing w:line="360" w:lineRule="auto"/>
              <w:jc w:val="center"/>
              <w:textAlignment w:val="auto"/>
              <w:rPr>
                <w:rFonts w:hint="eastAsia" w:ascii="宋体" w:hAnsi="宋体" w:eastAsia="宋体" w:cs="宋体"/>
                <w:bCs/>
                <w:spacing w:val="10"/>
                <w:kern w:val="0"/>
                <w:sz w:val="21"/>
                <w:szCs w:val="21"/>
                <w:lang w:val="en-GB" w:eastAsia="zh-CN" w:bidi="ar-SA"/>
              </w:rPr>
            </w:pPr>
            <w:r>
              <w:rPr>
                <w:rFonts w:hint="eastAsia" w:ascii="宋体" w:hAnsi="宋体" w:eastAsia="宋体" w:cs="宋体"/>
                <w:bCs w:val="0"/>
                <w:spacing w:val="0"/>
                <w:kern w:val="2"/>
                <w:sz w:val="21"/>
                <w:szCs w:val="21"/>
                <w:lang w:val="en-GB" w:eastAsia="zh-CN"/>
              </w:rPr>
              <w:t>安全文明施工措施</w:t>
            </w:r>
          </w:p>
        </w:tc>
        <w:tc>
          <w:tcPr>
            <w:tcW w:w="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default" w:ascii="宋体" w:hAnsi="宋体" w:eastAsia="宋体" w:cs="宋体"/>
                <w:kern w:val="2"/>
                <w:sz w:val="21"/>
                <w:szCs w:val="21"/>
                <w:highlight w:val="white"/>
                <w:lang w:val="en-US" w:eastAsia="zh-CN" w:bidi="ar-SA"/>
              </w:rPr>
            </w:pPr>
            <w:r>
              <w:rPr>
                <w:rFonts w:hint="eastAsia" w:ascii="宋体" w:hAnsi="宋体" w:cs="宋体"/>
                <w:sz w:val="21"/>
                <w:szCs w:val="21"/>
                <w:highlight w:val="white"/>
                <w:lang w:val="en-US" w:eastAsia="zh-CN"/>
              </w:rPr>
              <w:t>10</w:t>
            </w:r>
          </w:p>
        </w:tc>
        <w:tc>
          <w:tcPr>
            <w:tcW w:w="638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根据供应商</w:t>
            </w:r>
            <w:r>
              <w:rPr>
                <w:rFonts w:hint="eastAsia" w:ascii="宋体" w:hAnsi="宋体" w:eastAsia="宋体" w:cs="宋体"/>
                <w:sz w:val="21"/>
                <w:szCs w:val="21"/>
              </w:rPr>
              <w:t>提供</w:t>
            </w:r>
            <w:r>
              <w:rPr>
                <w:rFonts w:hint="eastAsia" w:ascii="宋体" w:hAnsi="宋体" w:eastAsia="宋体" w:cs="宋体"/>
                <w:sz w:val="21"/>
                <w:szCs w:val="21"/>
                <w:lang w:eastAsia="zh-CN"/>
              </w:rPr>
              <w:t>的</w:t>
            </w:r>
            <w:r>
              <w:rPr>
                <w:rFonts w:hint="eastAsia" w:ascii="宋体" w:hAnsi="宋体" w:eastAsia="宋体" w:cs="宋体"/>
                <w:sz w:val="21"/>
                <w:szCs w:val="21"/>
                <w:lang w:val="en-GB" w:eastAsia="zh-CN"/>
              </w:rPr>
              <w:t>安全文明施工措施方案</w:t>
            </w:r>
            <w:r>
              <w:rPr>
                <w:rFonts w:hint="eastAsia" w:ascii="宋体" w:hAnsi="宋体" w:eastAsia="宋体" w:cs="宋体"/>
                <w:sz w:val="21"/>
                <w:szCs w:val="21"/>
              </w:rPr>
              <w:t>（包括</w:t>
            </w:r>
            <w:r>
              <w:rPr>
                <w:rFonts w:hint="eastAsia" w:ascii="宋体" w:hAnsi="宋体" w:eastAsia="宋体" w:cs="宋体"/>
                <w:sz w:val="21"/>
                <w:szCs w:val="21"/>
                <w:lang w:eastAsia="zh-CN"/>
              </w:rPr>
              <w:t>但不限于安全管理制度、组织技术措施、</w:t>
            </w:r>
            <w:r>
              <w:rPr>
                <w:rFonts w:hint="eastAsia" w:ascii="宋体" w:hAnsi="宋体" w:eastAsia="宋体" w:cs="宋体"/>
                <w:sz w:val="21"/>
                <w:szCs w:val="21"/>
              </w:rPr>
              <w:t>保证措施等）进行</w:t>
            </w:r>
            <w:r>
              <w:rPr>
                <w:rFonts w:hint="eastAsia" w:ascii="宋体" w:hAnsi="宋体" w:cs="宋体"/>
                <w:sz w:val="21"/>
                <w:szCs w:val="21"/>
                <w:lang w:eastAsia="zh-CN"/>
              </w:rPr>
              <w:t>评审</w:t>
            </w:r>
            <w:r>
              <w:rPr>
                <w:rFonts w:hint="eastAsia" w:ascii="宋体" w:hAnsi="宋体" w:eastAsia="宋体" w:cs="宋体"/>
                <w:sz w:val="21"/>
                <w:szCs w:val="21"/>
              </w:rPr>
              <w:t>：</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1、提供的安全文明施工措施</w:t>
            </w:r>
            <w:r>
              <w:rPr>
                <w:rFonts w:hint="eastAsia" w:ascii="宋体" w:hAnsi="宋体" w:eastAsia="宋体" w:cs="宋体"/>
                <w:sz w:val="21"/>
                <w:szCs w:val="21"/>
                <w:lang w:val="en-GB" w:eastAsia="zh-CN"/>
              </w:rPr>
              <w:t>方案</w:t>
            </w:r>
            <w:r>
              <w:rPr>
                <w:rFonts w:hint="eastAsia" w:ascii="宋体" w:hAnsi="宋体" w:eastAsia="宋体" w:cs="宋体"/>
                <w:color w:val="000000"/>
                <w:sz w:val="21"/>
                <w:szCs w:val="21"/>
                <w:lang w:val="en-US" w:eastAsia="zh-CN"/>
              </w:rPr>
              <w:t>全面、具体，对安全管理制度、组织技术措施、保证措施等均有详尽描述，完全满足或优于采购人需求，有利于项目实施，得</w:t>
            </w:r>
            <w:r>
              <w:rPr>
                <w:rFonts w:hint="eastAsia" w:ascii="宋体" w:hAnsi="宋体" w:cs="宋体"/>
                <w:color w:val="000000"/>
                <w:sz w:val="21"/>
                <w:szCs w:val="21"/>
                <w:lang w:val="en-US" w:eastAsia="zh-CN"/>
              </w:rPr>
              <w:t>10</w:t>
            </w:r>
            <w:r>
              <w:rPr>
                <w:rFonts w:hint="eastAsia" w:ascii="宋体" w:hAnsi="宋体" w:eastAsia="宋体" w:cs="宋体"/>
                <w:color w:val="000000"/>
                <w:sz w:val="21"/>
                <w:szCs w:val="21"/>
                <w:lang w:val="en-US" w:eastAsia="zh-CN"/>
              </w:rPr>
              <w:t>分；</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2</w:t>
            </w:r>
            <w:r>
              <w:rPr>
                <w:rFonts w:hint="eastAsia" w:ascii="宋体" w:hAnsi="宋体" w:eastAsia="宋体" w:cs="宋体"/>
                <w:color w:val="000000"/>
                <w:sz w:val="21"/>
                <w:szCs w:val="21"/>
                <w:lang w:val="en-US" w:eastAsia="zh-CN"/>
              </w:rPr>
              <w:t>、提供的安全文明施工措施</w:t>
            </w:r>
            <w:r>
              <w:rPr>
                <w:rFonts w:hint="eastAsia" w:ascii="宋体" w:hAnsi="宋体" w:eastAsia="宋体" w:cs="宋体"/>
                <w:sz w:val="21"/>
                <w:szCs w:val="21"/>
                <w:lang w:val="en-GB" w:eastAsia="zh-CN"/>
              </w:rPr>
              <w:t>方案</w:t>
            </w:r>
            <w:r>
              <w:rPr>
                <w:rFonts w:hint="eastAsia" w:ascii="宋体" w:hAnsi="宋体" w:eastAsia="宋体" w:cs="宋体"/>
                <w:color w:val="000000"/>
                <w:sz w:val="21"/>
                <w:szCs w:val="21"/>
                <w:lang w:val="en-US" w:eastAsia="zh-CN"/>
              </w:rPr>
              <w:t>基本全面，对</w:t>
            </w:r>
            <w:r>
              <w:rPr>
                <w:rFonts w:hint="eastAsia" w:ascii="宋体" w:hAnsi="宋体" w:eastAsia="宋体" w:cs="宋体"/>
                <w:sz w:val="21"/>
                <w:szCs w:val="21"/>
                <w:lang w:eastAsia="zh-CN"/>
              </w:rPr>
              <w:t>安全管理制度、组织技术措施、</w:t>
            </w:r>
            <w:r>
              <w:rPr>
                <w:rFonts w:hint="eastAsia" w:ascii="宋体" w:hAnsi="宋体" w:eastAsia="宋体" w:cs="宋体"/>
                <w:sz w:val="21"/>
                <w:szCs w:val="21"/>
              </w:rPr>
              <w:t>保证措施等</w:t>
            </w:r>
            <w:r>
              <w:rPr>
                <w:rFonts w:hint="eastAsia" w:ascii="宋体" w:hAnsi="宋体" w:eastAsia="宋体" w:cs="宋体"/>
                <w:color w:val="000000"/>
                <w:sz w:val="21"/>
                <w:szCs w:val="21"/>
                <w:lang w:val="en-US" w:eastAsia="zh-CN"/>
              </w:rPr>
              <w:t>有基本描述，基本满足采购人需求，得</w:t>
            </w:r>
            <w:r>
              <w:rPr>
                <w:rFonts w:hint="eastAsia" w:ascii="宋体" w:hAnsi="宋体" w:cs="宋体"/>
                <w:color w:val="000000"/>
                <w:sz w:val="21"/>
                <w:szCs w:val="21"/>
                <w:lang w:val="en-US" w:eastAsia="zh-CN"/>
              </w:rPr>
              <w:t>7</w:t>
            </w:r>
            <w:r>
              <w:rPr>
                <w:rFonts w:hint="eastAsia" w:ascii="宋体" w:hAnsi="宋体" w:eastAsia="宋体" w:cs="宋体"/>
                <w:color w:val="000000"/>
                <w:sz w:val="21"/>
                <w:szCs w:val="21"/>
                <w:lang w:val="en-US" w:eastAsia="zh-CN"/>
              </w:rPr>
              <w:t>分；</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val="en-US" w:eastAsia="zh-CN"/>
              </w:rPr>
              <w:t>、提供的安全文明施工措施</w:t>
            </w:r>
            <w:r>
              <w:rPr>
                <w:rFonts w:hint="eastAsia" w:ascii="宋体" w:hAnsi="宋体" w:eastAsia="宋体" w:cs="宋体"/>
                <w:sz w:val="21"/>
                <w:szCs w:val="21"/>
                <w:lang w:val="en-GB" w:eastAsia="zh-CN"/>
              </w:rPr>
              <w:t>方案</w:t>
            </w:r>
            <w:r>
              <w:rPr>
                <w:rFonts w:hint="eastAsia" w:ascii="宋体" w:hAnsi="宋体" w:eastAsia="宋体" w:cs="宋体"/>
                <w:color w:val="000000"/>
                <w:sz w:val="21"/>
                <w:szCs w:val="21"/>
                <w:lang w:val="en-US" w:eastAsia="zh-CN"/>
              </w:rPr>
              <w:t>简单，对</w:t>
            </w:r>
            <w:r>
              <w:rPr>
                <w:rFonts w:hint="eastAsia" w:ascii="宋体" w:hAnsi="宋体" w:eastAsia="宋体" w:cs="宋体"/>
                <w:sz w:val="21"/>
                <w:szCs w:val="21"/>
                <w:lang w:eastAsia="zh-CN"/>
              </w:rPr>
              <w:t>安全管理制度、组织技术措施、</w:t>
            </w:r>
            <w:r>
              <w:rPr>
                <w:rFonts w:hint="eastAsia" w:ascii="宋体" w:hAnsi="宋体" w:eastAsia="宋体" w:cs="宋体"/>
                <w:sz w:val="21"/>
                <w:szCs w:val="21"/>
              </w:rPr>
              <w:t>保证措施等</w:t>
            </w:r>
            <w:r>
              <w:rPr>
                <w:rFonts w:hint="eastAsia" w:ascii="宋体" w:hAnsi="宋体" w:eastAsia="宋体" w:cs="宋体"/>
                <w:color w:val="000000"/>
                <w:sz w:val="21"/>
                <w:szCs w:val="21"/>
                <w:lang w:val="en-US" w:eastAsia="zh-CN"/>
              </w:rPr>
              <w:t>有简单描述，部分满足采购人需求，得</w:t>
            </w:r>
            <w:r>
              <w:rPr>
                <w:rFonts w:hint="eastAsia" w:ascii="宋体" w:hAnsi="宋体" w:cs="宋体"/>
                <w:color w:val="000000"/>
                <w:sz w:val="21"/>
                <w:szCs w:val="21"/>
                <w:lang w:val="en-US" w:eastAsia="zh-CN"/>
              </w:rPr>
              <w:t>4</w:t>
            </w:r>
            <w:r>
              <w:rPr>
                <w:rFonts w:hint="eastAsia" w:ascii="宋体" w:hAnsi="宋体" w:eastAsia="宋体" w:cs="宋体"/>
                <w:color w:val="000000"/>
                <w:sz w:val="21"/>
                <w:szCs w:val="21"/>
                <w:lang w:val="en-US" w:eastAsia="zh-CN"/>
              </w:rPr>
              <w:t>分；</w:t>
            </w:r>
          </w:p>
          <w:p>
            <w:pPr>
              <w:keepNext w:val="0"/>
              <w:keepLines w:val="0"/>
              <w:pageBreakBefore w:val="0"/>
              <w:widowControl w:val="0"/>
              <w:kinsoku/>
              <w:wordWrap/>
              <w:overflowPunct/>
              <w:topLinePunct w:val="0"/>
              <w:bidi w:val="0"/>
              <w:spacing w:line="360" w:lineRule="auto"/>
              <w:jc w:val="left"/>
              <w:textAlignment w:val="auto"/>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4、</w:t>
            </w:r>
            <w:r>
              <w:rPr>
                <w:rFonts w:hint="eastAsia" w:ascii="宋体" w:hAnsi="宋体" w:eastAsia="宋体" w:cs="宋体"/>
                <w:color w:val="000000"/>
                <w:sz w:val="21"/>
                <w:szCs w:val="21"/>
                <w:lang w:val="en-US" w:eastAsia="zh-CN"/>
              </w:rPr>
              <w:t>提供的安全文明施工措施</w:t>
            </w:r>
            <w:r>
              <w:rPr>
                <w:rFonts w:hint="eastAsia" w:ascii="宋体" w:hAnsi="宋体" w:eastAsia="宋体" w:cs="宋体"/>
                <w:sz w:val="21"/>
                <w:szCs w:val="21"/>
                <w:lang w:val="en-GB" w:eastAsia="zh-CN"/>
              </w:rPr>
              <w:t>方案</w:t>
            </w:r>
            <w:r>
              <w:rPr>
                <w:rFonts w:hint="eastAsia" w:ascii="宋体" w:hAnsi="宋体" w:eastAsia="宋体" w:cs="宋体"/>
                <w:color w:val="000000"/>
                <w:sz w:val="21"/>
                <w:szCs w:val="21"/>
                <w:lang w:val="en-US" w:eastAsia="zh-CN"/>
              </w:rPr>
              <w:t>简单，对</w:t>
            </w:r>
            <w:r>
              <w:rPr>
                <w:rFonts w:hint="eastAsia" w:ascii="宋体" w:hAnsi="宋体" w:eastAsia="宋体" w:cs="宋体"/>
                <w:sz w:val="21"/>
                <w:szCs w:val="21"/>
                <w:lang w:eastAsia="zh-CN"/>
              </w:rPr>
              <w:t>安全管理制度、组织技术措施、</w:t>
            </w:r>
            <w:r>
              <w:rPr>
                <w:rFonts w:hint="eastAsia" w:ascii="宋体" w:hAnsi="宋体" w:eastAsia="宋体" w:cs="宋体"/>
                <w:sz w:val="21"/>
                <w:szCs w:val="21"/>
              </w:rPr>
              <w:t>保证措施等</w:t>
            </w:r>
            <w:r>
              <w:rPr>
                <w:rFonts w:hint="eastAsia" w:ascii="宋体" w:hAnsi="宋体" w:eastAsia="宋体" w:cs="宋体"/>
                <w:color w:val="000000"/>
                <w:sz w:val="21"/>
                <w:szCs w:val="21"/>
                <w:lang w:val="en-US" w:eastAsia="zh-CN"/>
              </w:rPr>
              <w:t>有简单描述</w:t>
            </w:r>
            <w:r>
              <w:rPr>
                <w:rFonts w:hint="eastAsia" w:ascii="宋体" w:hAnsi="宋体" w:cs="宋体"/>
                <w:color w:val="000000"/>
                <w:sz w:val="21"/>
                <w:szCs w:val="21"/>
                <w:lang w:val="en-US" w:eastAsia="zh-CN"/>
              </w:rPr>
              <w:t>但不</w:t>
            </w:r>
            <w:r>
              <w:rPr>
                <w:rFonts w:hint="eastAsia" w:ascii="宋体" w:hAnsi="宋体" w:eastAsia="宋体" w:cs="宋体"/>
                <w:color w:val="000000"/>
                <w:sz w:val="21"/>
                <w:szCs w:val="21"/>
                <w:lang w:val="en-US" w:eastAsia="zh-CN"/>
              </w:rPr>
              <w:t>满足采购人需求，</w:t>
            </w:r>
            <w:r>
              <w:rPr>
                <w:rFonts w:hint="eastAsia" w:ascii="宋体" w:hAnsi="宋体" w:cs="宋体"/>
                <w:color w:val="000000"/>
                <w:sz w:val="21"/>
                <w:szCs w:val="21"/>
                <w:lang w:val="en-US" w:eastAsia="zh-CN"/>
              </w:rPr>
              <w:t>不</w:t>
            </w:r>
            <w:r>
              <w:rPr>
                <w:rFonts w:hint="eastAsia" w:ascii="宋体" w:hAnsi="宋体" w:eastAsia="宋体" w:cs="宋体"/>
                <w:color w:val="000000"/>
                <w:sz w:val="21"/>
                <w:szCs w:val="21"/>
                <w:lang w:val="en-US" w:eastAsia="zh-CN"/>
              </w:rPr>
              <w:t>利于项目实施</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得</w:t>
            </w:r>
            <w:r>
              <w:rPr>
                <w:rFonts w:hint="eastAsia" w:ascii="宋体" w:hAnsi="宋体" w:cs="宋体"/>
                <w:color w:val="000000"/>
                <w:sz w:val="21"/>
                <w:szCs w:val="21"/>
                <w:lang w:val="en-US" w:eastAsia="zh-CN"/>
              </w:rPr>
              <w:t>1</w:t>
            </w:r>
            <w:r>
              <w:rPr>
                <w:rFonts w:hint="eastAsia" w:ascii="宋体" w:hAnsi="宋体" w:eastAsia="宋体" w:cs="宋体"/>
                <w:color w:val="000000"/>
                <w:sz w:val="21"/>
                <w:szCs w:val="21"/>
                <w:lang w:val="en-US" w:eastAsia="zh-CN"/>
              </w:rPr>
              <w:t>分；</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kern w:val="2"/>
                <w:sz w:val="21"/>
                <w:szCs w:val="21"/>
                <w:lang w:val="en-US" w:eastAsia="zh-CN" w:bidi="ar-SA"/>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lang w:eastAsia="zh-CN"/>
              </w:rPr>
              <w:t>其他情况</w:t>
            </w:r>
            <w:r>
              <w:rPr>
                <w:rFonts w:hint="eastAsia" w:ascii="宋体" w:hAnsi="宋体" w:eastAsia="宋体" w:cs="宋体"/>
                <w:color w:val="000000"/>
                <w:sz w:val="21"/>
                <w:szCs w:val="21"/>
              </w:rPr>
              <w:t>或不提供方案不得分。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97" w:hRule="atLeast"/>
        </w:trPr>
        <w:tc>
          <w:tcPr>
            <w:tcW w:w="634"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sz w:val="21"/>
                <w:szCs w:val="21"/>
              </w:rPr>
            </w:pPr>
            <w:r>
              <w:rPr>
                <w:rFonts w:hint="eastAsia" w:ascii="宋体" w:hAnsi="宋体" w:cs="宋体"/>
                <w:sz w:val="21"/>
                <w:szCs w:val="21"/>
                <w:lang w:val="en-US" w:eastAsia="zh-CN"/>
              </w:rPr>
              <w:t>5</w:t>
            </w:r>
          </w:p>
        </w:tc>
        <w:tc>
          <w:tcPr>
            <w:tcW w:w="1927"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eastAsia" w:ascii="宋体" w:hAnsi="宋体" w:eastAsia="宋体" w:cs="宋体"/>
                <w:color w:val="000000"/>
                <w:sz w:val="21"/>
                <w:szCs w:val="21"/>
              </w:rPr>
            </w:pPr>
            <w:r>
              <w:rPr>
                <w:rFonts w:hint="eastAsia" w:ascii="宋体" w:hAnsi="宋体" w:eastAsia="宋体" w:cs="宋体"/>
                <w:sz w:val="21"/>
                <w:szCs w:val="21"/>
                <w:lang w:val="en-GB"/>
              </w:rPr>
              <w:t>质量保证措施</w:t>
            </w:r>
          </w:p>
        </w:tc>
        <w:tc>
          <w:tcPr>
            <w:tcW w:w="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default" w:ascii="宋体" w:hAnsi="宋体" w:eastAsia="宋体" w:cs="宋体"/>
                <w:sz w:val="21"/>
                <w:szCs w:val="21"/>
                <w:highlight w:val="white"/>
                <w:lang w:val="en-US" w:eastAsia="zh-CN"/>
              </w:rPr>
            </w:pPr>
            <w:r>
              <w:rPr>
                <w:rFonts w:hint="eastAsia" w:ascii="宋体" w:hAnsi="宋体" w:cs="宋体"/>
                <w:sz w:val="21"/>
                <w:szCs w:val="21"/>
                <w:highlight w:val="white"/>
                <w:lang w:val="en-US" w:eastAsia="zh-CN"/>
              </w:rPr>
              <w:t>10</w:t>
            </w:r>
          </w:p>
        </w:tc>
        <w:tc>
          <w:tcPr>
            <w:tcW w:w="638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根据供应商</w:t>
            </w:r>
            <w:r>
              <w:rPr>
                <w:rFonts w:hint="eastAsia" w:ascii="宋体" w:hAnsi="宋体" w:eastAsia="宋体" w:cs="宋体"/>
                <w:sz w:val="21"/>
                <w:szCs w:val="21"/>
              </w:rPr>
              <w:t>提供</w:t>
            </w:r>
            <w:r>
              <w:rPr>
                <w:rFonts w:hint="eastAsia" w:ascii="宋体" w:hAnsi="宋体" w:eastAsia="宋体" w:cs="宋体"/>
                <w:sz w:val="21"/>
                <w:szCs w:val="21"/>
                <w:lang w:eastAsia="zh-CN"/>
              </w:rPr>
              <w:t>的</w:t>
            </w:r>
            <w:r>
              <w:rPr>
                <w:rFonts w:hint="eastAsia" w:ascii="宋体" w:hAnsi="宋体" w:eastAsia="宋体" w:cs="宋体"/>
                <w:sz w:val="21"/>
                <w:szCs w:val="21"/>
                <w:lang w:val="en-GB" w:eastAsia="zh-CN"/>
              </w:rPr>
              <w:t>质量保证措施方案</w:t>
            </w:r>
            <w:r>
              <w:rPr>
                <w:rFonts w:hint="eastAsia" w:ascii="宋体" w:hAnsi="宋体" w:eastAsia="宋体" w:cs="宋体"/>
                <w:sz w:val="21"/>
                <w:szCs w:val="21"/>
              </w:rPr>
              <w:t>（包括</w:t>
            </w:r>
            <w:r>
              <w:rPr>
                <w:rFonts w:hint="eastAsia" w:ascii="宋体" w:hAnsi="宋体" w:eastAsia="宋体" w:cs="宋体"/>
                <w:sz w:val="21"/>
                <w:szCs w:val="21"/>
                <w:lang w:eastAsia="zh-CN"/>
              </w:rPr>
              <w:t>但不限于</w:t>
            </w:r>
            <w:r>
              <w:rPr>
                <w:rFonts w:hint="eastAsia" w:ascii="宋体" w:hAnsi="宋体" w:eastAsia="宋体" w:cs="宋体"/>
                <w:sz w:val="21"/>
                <w:szCs w:val="21"/>
                <w:lang w:val="en-GB" w:eastAsia="zh-CN"/>
              </w:rPr>
              <w:t>质量保证</w:t>
            </w:r>
            <w:r>
              <w:rPr>
                <w:rFonts w:hint="eastAsia" w:ascii="宋体" w:hAnsi="宋体" w:eastAsia="宋体" w:cs="宋体"/>
                <w:sz w:val="21"/>
                <w:szCs w:val="21"/>
                <w:lang w:eastAsia="zh-CN"/>
              </w:rPr>
              <w:t>制度、</w:t>
            </w:r>
            <w:r>
              <w:rPr>
                <w:rFonts w:hint="eastAsia" w:ascii="宋体" w:hAnsi="宋体" w:cs="宋体"/>
                <w:sz w:val="21"/>
                <w:szCs w:val="21"/>
                <w:lang w:eastAsia="zh-CN"/>
              </w:rPr>
              <w:t>质量管理</w:t>
            </w:r>
            <w:r>
              <w:rPr>
                <w:rFonts w:hint="eastAsia" w:ascii="宋体" w:hAnsi="宋体" w:eastAsia="宋体" w:cs="宋体"/>
                <w:sz w:val="21"/>
                <w:szCs w:val="21"/>
                <w:lang w:eastAsia="zh-CN"/>
              </w:rPr>
              <w:t>措施、</w:t>
            </w:r>
            <w:r>
              <w:rPr>
                <w:rFonts w:hint="eastAsia" w:ascii="宋体" w:hAnsi="宋体" w:cs="宋体"/>
                <w:sz w:val="21"/>
                <w:szCs w:val="21"/>
                <w:lang w:eastAsia="zh-CN"/>
              </w:rPr>
              <w:t>质量控制流程</w:t>
            </w:r>
            <w:r>
              <w:rPr>
                <w:rFonts w:hint="eastAsia" w:ascii="宋体" w:hAnsi="宋体" w:eastAsia="宋体" w:cs="宋体"/>
                <w:sz w:val="21"/>
                <w:szCs w:val="21"/>
              </w:rPr>
              <w:t>等）进行</w:t>
            </w:r>
            <w:r>
              <w:rPr>
                <w:rFonts w:hint="eastAsia" w:ascii="宋体" w:hAnsi="宋体" w:cs="宋体"/>
                <w:sz w:val="21"/>
                <w:szCs w:val="21"/>
                <w:lang w:eastAsia="zh-CN"/>
              </w:rPr>
              <w:t>评审</w:t>
            </w:r>
            <w:r>
              <w:rPr>
                <w:rFonts w:hint="eastAsia" w:ascii="宋体" w:hAnsi="宋体" w:eastAsia="宋体" w:cs="宋体"/>
                <w:sz w:val="21"/>
                <w:szCs w:val="21"/>
              </w:rPr>
              <w:t>：</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1、提供的</w:t>
            </w:r>
            <w:r>
              <w:rPr>
                <w:rFonts w:hint="eastAsia" w:ascii="宋体" w:hAnsi="宋体" w:eastAsia="宋体" w:cs="宋体"/>
                <w:sz w:val="21"/>
                <w:szCs w:val="21"/>
                <w:lang w:val="en-GB" w:eastAsia="zh-CN"/>
              </w:rPr>
              <w:t>质量保证措施方案</w:t>
            </w:r>
            <w:r>
              <w:rPr>
                <w:rFonts w:hint="eastAsia" w:ascii="宋体" w:hAnsi="宋体" w:eastAsia="宋体" w:cs="宋体"/>
                <w:color w:val="000000"/>
                <w:sz w:val="21"/>
                <w:szCs w:val="21"/>
                <w:lang w:val="en-US" w:eastAsia="zh-CN"/>
              </w:rPr>
              <w:t>全面、具体，对</w:t>
            </w:r>
            <w:r>
              <w:rPr>
                <w:rFonts w:hint="eastAsia" w:ascii="宋体" w:hAnsi="宋体" w:eastAsia="宋体" w:cs="宋体"/>
                <w:sz w:val="21"/>
                <w:szCs w:val="21"/>
                <w:lang w:val="en-GB" w:eastAsia="zh-CN"/>
              </w:rPr>
              <w:t>质量保证</w:t>
            </w:r>
            <w:r>
              <w:rPr>
                <w:rFonts w:hint="eastAsia" w:ascii="宋体" w:hAnsi="宋体" w:eastAsia="宋体" w:cs="宋体"/>
                <w:sz w:val="21"/>
                <w:szCs w:val="21"/>
                <w:lang w:eastAsia="zh-CN"/>
              </w:rPr>
              <w:t>制度、</w:t>
            </w:r>
            <w:r>
              <w:rPr>
                <w:rFonts w:hint="eastAsia" w:ascii="宋体" w:hAnsi="宋体" w:cs="宋体"/>
                <w:sz w:val="21"/>
                <w:szCs w:val="21"/>
                <w:lang w:eastAsia="zh-CN"/>
              </w:rPr>
              <w:t>质量管理</w:t>
            </w:r>
            <w:r>
              <w:rPr>
                <w:rFonts w:hint="eastAsia" w:ascii="宋体" w:hAnsi="宋体" w:eastAsia="宋体" w:cs="宋体"/>
                <w:sz w:val="21"/>
                <w:szCs w:val="21"/>
                <w:lang w:eastAsia="zh-CN"/>
              </w:rPr>
              <w:t>措施、</w:t>
            </w:r>
            <w:r>
              <w:rPr>
                <w:rFonts w:hint="eastAsia" w:ascii="宋体" w:hAnsi="宋体" w:cs="宋体"/>
                <w:sz w:val="21"/>
                <w:szCs w:val="21"/>
                <w:lang w:eastAsia="zh-CN"/>
              </w:rPr>
              <w:t>质量控制流程</w:t>
            </w:r>
            <w:r>
              <w:rPr>
                <w:rFonts w:hint="eastAsia" w:ascii="宋体" w:hAnsi="宋体" w:eastAsia="宋体" w:cs="宋体"/>
                <w:sz w:val="21"/>
                <w:szCs w:val="21"/>
              </w:rPr>
              <w:t>等</w:t>
            </w:r>
            <w:r>
              <w:rPr>
                <w:rFonts w:hint="eastAsia" w:ascii="宋体" w:hAnsi="宋体" w:eastAsia="宋体" w:cs="宋体"/>
                <w:color w:val="000000"/>
                <w:sz w:val="21"/>
                <w:szCs w:val="21"/>
                <w:lang w:val="en-US" w:eastAsia="zh-CN"/>
              </w:rPr>
              <w:t>均有详尽描述，完全满足或优于采购人需求，有利于项目实施，得</w:t>
            </w:r>
            <w:r>
              <w:rPr>
                <w:rFonts w:hint="eastAsia" w:ascii="宋体" w:hAnsi="宋体" w:cs="宋体"/>
                <w:color w:val="000000"/>
                <w:sz w:val="21"/>
                <w:szCs w:val="21"/>
                <w:lang w:val="en-US" w:eastAsia="zh-CN"/>
              </w:rPr>
              <w:t>10</w:t>
            </w:r>
            <w:r>
              <w:rPr>
                <w:rFonts w:hint="eastAsia" w:ascii="宋体" w:hAnsi="宋体" w:eastAsia="宋体" w:cs="宋体"/>
                <w:color w:val="000000"/>
                <w:sz w:val="21"/>
                <w:szCs w:val="21"/>
                <w:lang w:val="en-US" w:eastAsia="zh-CN"/>
              </w:rPr>
              <w:t>分；</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2</w:t>
            </w:r>
            <w:r>
              <w:rPr>
                <w:rFonts w:hint="eastAsia" w:ascii="宋体" w:hAnsi="宋体" w:eastAsia="宋体" w:cs="宋体"/>
                <w:color w:val="000000"/>
                <w:sz w:val="21"/>
                <w:szCs w:val="21"/>
                <w:lang w:val="en-US" w:eastAsia="zh-CN"/>
              </w:rPr>
              <w:t>、提供的</w:t>
            </w:r>
            <w:r>
              <w:rPr>
                <w:rFonts w:hint="eastAsia" w:ascii="宋体" w:hAnsi="宋体" w:eastAsia="宋体" w:cs="宋体"/>
                <w:sz w:val="21"/>
                <w:szCs w:val="21"/>
                <w:lang w:val="en-GB" w:eastAsia="zh-CN"/>
              </w:rPr>
              <w:t>质量保证措施方案</w:t>
            </w:r>
            <w:r>
              <w:rPr>
                <w:rFonts w:hint="eastAsia" w:ascii="宋体" w:hAnsi="宋体" w:eastAsia="宋体" w:cs="宋体"/>
                <w:color w:val="000000"/>
                <w:sz w:val="21"/>
                <w:szCs w:val="21"/>
                <w:lang w:val="en-US" w:eastAsia="zh-CN"/>
              </w:rPr>
              <w:t>基本全面，对</w:t>
            </w:r>
            <w:r>
              <w:rPr>
                <w:rFonts w:hint="eastAsia" w:ascii="宋体" w:hAnsi="宋体" w:eastAsia="宋体" w:cs="宋体"/>
                <w:sz w:val="21"/>
                <w:szCs w:val="21"/>
                <w:lang w:val="en-GB" w:eastAsia="zh-CN"/>
              </w:rPr>
              <w:t>质量保证</w:t>
            </w:r>
            <w:r>
              <w:rPr>
                <w:rFonts w:hint="eastAsia" w:ascii="宋体" w:hAnsi="宋体" w:eastAsia="宋体" w:cs="宋体"/>
                <w:sz w:val="21"/>
                <w:szCs w:val="21"/>
                <w:lang w:eastAsia="zh-CN"/>
              </w:rPr>
              <w:t>制度、</w:t>
            </w:r>
            <w:r>
              <w:rPr>
                <w:rFonts w:hint="eastAsia" w:ascii="宋体" w:hAnsi="宋体" w:cs="宋体"/>
                <w:sz w:val="21"/>
                <w:szCs w:val="21"/>
                <w:lang w:eastAsia="zh-CN"/>
              </w:rPr>
              <w:t>质量管理</w:t>
            </w:r>
            <w:r>
              <w:rPr>
                <w:rFonts w:hint="eastAsia" w:ascii="宋体" w:hAnsi="宋体" w:eastAsia="宋体" w:cs="宋体"/>
                <w:sz w:val="21"/>
                <w:szCs w:val="21"/>
                <w:lang w:eastAsia="zh-CN"/>
              </w:rPr>
              <w:t>措施、</w:t>
            </w:r>
            <w:r>
              <w:rPr>
                <w:rFonts w:hint="eastAsia" w:ascii="宋体" w:hAnsi="宋体" w:cs="宋体"/>
                <w:sz w:val="21"/>
                <w:szCs w:val="21"/>
                <w:lang w:eastAsia="zh-CN"/>
              </w:rPr>
              <w:t>质量控制流程</w:t>
            </w:r>
            <w:r>
              <w:rPr>
                <w:rFonts w:hint="eastAsia" w:ascii="宋体" w:hAnsi="宋体" w:eastAsia="宋体" w:cs="宋体"/>
                <w:sz w:val="21"/>
                <w:szCs w:val="21"/>
              </w:rPr>
              <w:t>等</w:t>
            </w:r>
            <w:r>
              <w:rPr>
                <w:rFonts w:hint="eastAsia" w:ascii="宋体" w:hAnsi="宋体" w:eastAsia="宋体" w:cs="宋体"/>
                <w:color w:val="000000"/>
                <w:sz w:val="21"/>
                <w:szCs w:val="21"/>
                <w:lang w:val="en-US" w:eastAsia="zh-CN"/>
              </w:rPr>
              <w:t>有基本描述，基本满足采购人需求，得</w:t>
            </w:r>
            <w:r>
              <w:rPr>
                <w:rFonts w:hint="eastAsia" w:ascii="宋体" w:hAnsi="宋体" w:cs="宋体"/>
                <w:color w:val="000000"/>
                <w:sz w:val="21"/>
                <w:szCs w:val="21"/>
                <w:lang w:val="en-US" w:eastAsia="zh-CN"/>
              </w:rPr>
              <w:t>7</w:t>
            </w:r>
            <w:r>
              <w:rPr>
                <w:rFonts w:hint="eastAsia" w:ascii="宋体" w:hAnsi="宋体" w:eastAsia="宋体" w:cs="宋体"/>
                <w:color w:val="000000"/>
                <w:sz w:val="21"/>
                <w:szCs w:val="21"/>
                <w:lang w:val="en-US" w:eastAsia="zh-CN"/>
              </w:rPr>
              <w:t>分；</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val="en-US" w:eastAsia="zh-CN"/>
              </w:rPr>
              <w:t>、提供的</w:t>
            </w:r>
            <w:r>
              <w:rPr>
                <w:rFonts w:hint="eastAsia" w:ascii="宋体" w:hAnsi="宋体" w:eastAsia="宋体" w:cs="宋体"/>
                <w:sz w:val="21"/>
                <w:szCs w:val="21"/>
                <w:lang w:val="en-GB" w:eastAsia="zh-CN"/>
              </w:rPr>
              <w:t>质量保证措施方案</w:t>
            </w:r>
            <w:r>
              <w:rPr>
                <w:rFonts w:hint="eastAsia" w:ascii="宋体" w:hAnsi="宋体" w:eastAsia="宋体" w:cs="宋体"/>
                <w:color w:val="000000"/>
                <w:sz w:val="21"/>
                <w:szCs w:val="21"/>
                <w:lang w:val="en-US" w:eastAsia="zh-CN"/>
              </w:rPr>
              <w:t>简单，对</w:t>
            </w:r>
            <w:r>
              <w:rPr>
                <w:rFonts w:hint="eastAsia" w:ascii="宋体" w:hAnsi="宋体" w:eastAsia="宋体" w:cs="宋体"/>
                <w:sz w:val="21"/>
                <w:szCs w:val="21"/>
                <w:lang w:val="en-GB" w:eastAsia="zh-CN"/>
              </w:rPr>
              <w:t>质量保证</w:t>
            </w:r>
            <w:r>
              <w:rPr>
                <w:rFonts w:hint="eastAsia" w:ascii="宋体" w:hAnsi="宋体" w:eastAsia="宋体" w:cs="宋体"/>
                <w:sz w:val="21"/>
                <w:szCs w:val="21"/>
                <w:lang w:eastAsia="zh-CN"/>
              </w:rPr>
              <w:t>制度、</w:t>
            </w:r>
            <w:r>
              <w:rPr>
                <w:rFonts w:hint="eastAsia" w:ascii="宋体" w:hAnsi="宋体" w:cs="宋体"/>
                <w:sz w:val="21"/>
                <w:szCs w:val="21"/>
                <w:lang w:eastAsia="zh-CN"/>
              </w:rPr>
              <w:t>质量管理</w:t>
            </w:r>
            <w:r>
              <w:rPr>
                <w:rFonts w:hint="eastAsia" w:ascii="宋体" w:hAnsi="宋体" w:eastAsia="宋体" w:cs="宋体"/>
                <w:sz w:val="21"/>
                <w:szCs w:val="21"/>
                <w:lang w:eastAsia="zh-CN"/>
              </w:rPr>
              <w:t>措施、</w:t>
            </w:r>
            <w:r>
              <w:rPr>
                <w:rFonts w:hint="eastAsia" w:ascii="宋体" w:hAnsi="宋体" w:cs="宋体"/>
                <w:sz w:val="21"/>
                <w:szCs w:val="21"/>
                <w:lang w:eastAsia="zh-CN"/>
              </w:rPr>
              <w:t>质量控制流程</w:t>
            </w:r>
            <w:r>
              <w:rPr>
                <w:rFonts w:hint="eastAsia" w:ascii="宋体" w:hAnsi="宋体" w:eastAsia="宋体" w:cs="宋体"/>
                <w:sz w:val="21"/>
                <w:szCs w:val="21"/>
              </w:rPr>
              <w:t>等</w:t>
            </w:r>
            <w:r>
              <w:rPr>
                <w:rFonts w:hint="eastAsia" w:ascii="宋体" w:hAnsi="宋体" w:eastAsia="宋体" w:cs="宋体"/>
                <w:color w:val="000000"/>
                <w:sz w:val="21"/>
                <w:szCs w:val="21"/>
                <w:lang w:val="en-US" w:eastAsia="zh-CN"/>
              </w:rPr>
              <w:t>有简单描述，部分满足采购人需求，得</w:t>
            </w:r>
            <w:r>
              <w:rPr>
                <w:rFonts w:hint="eastAsia" w:ascii="宋体" w:hAnsi="宋体" w:cs="宋体"/>
                <w:color w:val="000000"/>
                <w:sz w:val="21"/>
                <w:szCs w:val="21"/>
                <w:lang w:val="en-US" w:eastAsia="zh-CN"/>
              </w:rPr>
              <w:t>4</w:t>
            </w:r>
            <w:r>
              <w:rPr>
                <w:rFonts w:hint="eastAsia" w:ascii="宋体" w:hAnsi="宋体" w:eastAsia="宋体" w:cs="宋体"/>
                <w:color w:val="000000"/>
                <w:sz w:val="21"/>
                <w:szCs w:val="21"/>
                <w:lang w:val="en-US" w:eastAsia="zh-CN"/>
              </w:rPr>
              <w:t>分；</w:t>
            </w:r>
          </w:p>
          <w:p>
            <w:pPr>
              <w:keepNext w:val="0"/>
              <w:keepLines w:val="0"/>
              <w:pageBreakBefore w:val="0"/>
              <w:widowControl w:val="0"/>
              <w:kinsoku/>
              <w:wordWrap/>
              <w:overflowPunct/>
              <w:topLinePunct w:val="0"/>
              <w:bidi w:val="0"/>
              <w:spacing w:line="360" w:lineRule="auto"/>
              <w:jc w:val="left"/>
              <w:textAlignment w:val="auto"/>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4、</w:t>
            </w:r>
            <w:r>
              <w:rPr>
                <w:rFonts w:hint="eastAsia" w:ascii="宋体" w:hAnsi="宋体" w:eastAsia="宋体" w:cs="宋体"/>
                <w:color w:val="000000"/>
                <w:sz w:val="21"/>
                <w:szCs w:val="21"/>
                <w:lang w:val="en-US" w:eastAsia="zh-CN"/>
              </w:rPr>
              <w:t>提供的</w:t>
            </w:r>
            <w:r>
              <w:rPr>
                <w:rFonts w:hint="eastAsia" w:ascii="宋体" w:hAnsi="宋体" w:eastAsia="宋体" w:cs="宋体"/>
                <w:sz w:val="21"/>
                <w:szCs w:val="21"/>
                <w:lang w:val="en-GB" w:eastAsia="zh-CN"/>
              </w:rPr>
              <w:t>质量保证措施方案</w:t>
            </w:r>
            <w:r>
              <w:rPr>
                <w:rFonts w:hint="eastAsia" w:ascii="宋体" w:hAnsi="宋体" w:eastAsia="宋体" w:cs="宋体"/>
                <w:color w:val="000000"/>
                <w:sz w:val="21"/>
                <w:szCs w:val="21"/>
                <w:lang w:val="en-US" w:eastAsia="zh-CN"/>
              </w:rPr>
              <w:t>简单，对</w:t>
            </w:r>
            <w:r>
              <w:rPr>
                <w:rFonts w:hint="eastAsia" w:ascii="宋体" w:hAnsi="宋体" w:eastAsia="宋体" w:cs="宋体"/>
                <w:sz w:val="21"/>
                <w:szCs w:val="21"/>
                <w:lang w:val="en-GB" w:eastAsia="zh-CN"/>
              </w:rPr>
              <w:t>质量保证</w:t>
            </w:r>
            <w:r>
              <w:rPr>
                <w:rFonts w:hint="eastAsia" w:ascii="宋体" w:hAnsi="宋体" w:eastAsia="宋体" w:cs="宋体"/>
                <w:sz w:val="21"/>
                <w:szCs w:val="21"/>
                <w:lang w:eastAsia="zh-CN"/>
              </w:rPr>
              <w:t>制度、</w:t>
            </w:r>
            <w:r>
              <w:rPr>
                <w:rFonts w:hint="eastAsia" w:ascii="宋体" w:hAnsi="宋体" w:cs="宋体"/>
                <w:sz w:val="21"/>
                <w:szCs w:val="21"/>
                <w:lang w:eastAsia="zh-CN"/>
              </w:rPr>
              <w:t>质量管理</w:t>
            </w:r>
            <w:r>
              <w:rPr>
                <w:rFonts w:hint="eastAsia" w:ascii="宋体" w:hAnsi="宋体" w:eastAsia="宋体" w:cs="宋体"/>
                <w:sz w:val="21"/>
                <w:szCs w:val="21"/>
                <w:lang w:eastAsia="zh-CN"/>
              </w:rPr>
              <w:t>措施、</w:t>
            </w:r>
            <w:r>
              <w:rPr>
                <w:rFonts w:hint="eastAsia" w:ascii="宋体" w:hAnsi="宋体" w:cs="宋体"/>
                <w:sz w:val="21"/>
                <w:szCs w:val="21"/>
                <w:lang w:eastAsia="zh-CN"/>
              </w:rPr>
              <w:t>质量控制流程</w:t>
            </w:r>
            <w:r>
              <w:rPr>
                <w:rFonts w:hint="eastAsia" w:ascii="宋体" w:hAnsi="宋体" w:eastAsia="宋体" w:cs="宋体"/>
                <w:sz w:val="21"/>
                <w:szCs w:val="21"/>
              </w:rPr>
              <w:t>等</w:t>
            </w:r>
            <w:r>
              <w:rPr>
                <w:rFonts w:hint="eastAsia" w:ascii="宋体" w:hAnsi="宋体" w:eastAsia="宋体" w:cs="宋体"/>
                <w:color w:val="000000"/>
                <w:sz w:val="21"/>
                <w:szCs w:val="21"/>
                <w:lang w:val="en-US" w:eastAsia="zh-CN"/>
              </w:rPr>
              <w:t>有简单描述</w:t>
            </w:r>
            <w:r>
              <w:rPr>
                <w:rFonts w:hint="eastAsia" w:ascii="宋体" w:hAnsi="宋体" w:cs="宋体"/>
                <w:color w:val="000000"/>
                <w:sz w:val="21"/>
                <w:szCs w:val="21"/>
                <w:lang w:val="en-US" w:eastAsia="zh-CN"/>
              </w:rPr>
              <w:t>但不</w:t>
            </w:r>
            <w:r>
              <w:rPr>
                <w:rFonts w:hint="eastAsia" w:ascii="宋体" w:hAnsi="宋体" w:eastAsia="宋体" w:cs="宋体"/>
                <w:color w:val="000000"/>
                <w:sz w:val="21"/>
                <w:szCs w:val="21"/>
                <w:lang w:val="en-US" w:eastAsia="zh-CN"/>
              </w:rPr>
              <w:t>满足采购人需求，</w:t>
            </w:r>
            <w:r>
              <w:rPr>
                <w:rFonts w:hint="eastAsia" w:ascii="宋体" w:hAnsi="宋体" w:cs="宋体"/>
                <w:color w:val="000000"/>
                <w:sz w:val="21"/>
                <w:szCs w:val="21"/>
                <w:lang w:val="en-US" w:eastAsia="zh-CN"/>
              </w:rPr>
              <w:t>不</w:t>
            </w:r>
            <w:r>
              <w:rPr>
                <w:rFonts w:hint="eastAsia" w:ascii="宋体" w:hAnsi="宋体" w:eastAsia="宋体" w:cs="宋体"/>
                <w:color w:val="000000"/>
                <w:sz w:val="21"/>
                <w:szCs w:val="21"/>
                <w:lang w:val="en-US" w:eastAsia="zh-CN"/>
              </w:rPr>
              <w:t>利于项目实施</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得</w:t>
            </w:r>
            <w:r>
              <w:rPr>
                <w:rFonts w:hint="eastAsia" w:ascii="宋体" w:hAnsi="宋体" w:cs="宋体"/>
                <w:color w:val="000000"/>
                <w:sz w:val="21"/>
                <w:szCs w:val="21"/>
                <w:lang w:val="en-US" w:eastAsia="zh-CN"/>
              </w:rPr>
              <w:t>1</w:t>
            </w:r>
            <w:r>
              <w:rPr>
                <w:rFonts w:hint="eastAsia" w:ascii="宋体" w:hAnsi="宋体" w:eastAsia="宋体" w:cs="宋体"/>
                <w:color w:val="000000"/>
                <w:sz w:val="21"/>
                <w:szCs w:val="21"/>
                <w:lang w:val="en-US" w:eastAsia="zh-CN"/>
              </w:rPr>
              <w:t>分；</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sz w:val="21"/>
                <w:szCs w:val="21"/>
                <w:highlight w:val="white"/>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lang w:eastAsia="zh-CN"/>
              </w:rPr>
              <w:t>其他情况</w:t>
            </w:r>
            <w:r>
              <w:rPr>
                <w:rFonts w:hint="eastAsia" w:ascii="宋体" w:hAnsi="宋体" w:eastAsia="宋体" w:cs="宋体"/>
                <w:color w:val="000000"/>
                <w:sz w:val="21"/>
                <w:szCs w:val="21"/>
              </w:rPr>
              <w:t>或不提供方案不得分。</w:t>
            </w:r>
          </w:p>
        </w:tc>
      </w:tr>
      <w:bookmarkEnd w:id="334"/>
      <w:bookmarkEnd w:id="335"/>
      <w:bookmarkEnd w:id="336"/>
      <w:bookmarkEnd w:id="339"/>
      <w:bookmarkEnd w:id="340"/>
      <w:bookmarkEnd w:id="341"/>
      <w:bookmarkEnd w:id="342"/>
      <w:bookmarkEnd w:id="343"/>
      <w:bookmarkEnd w:id="344"/>
      <w:bookmarkEnd w:id="345"/>
      <w:bookmarkEnd w:id="346"/>
      <w:bookmarkEnd w:id="347"/>
      <w:bookmarkEnd w:id="348"/>
    </w:tbl>
    <w:p>
      <w:pPr>
        <w:keepNext/>
        <w:tabs>
          <w:tab w:val="left" w:pos="780"/>
        </w:tabs>
        <w:autoSpaceDE w:val="0"/>
        <w:autoSpaceDN w:val="0"/>
        <w:adjustRightInd w:val="0"/>
        <w:snapToGrid w:val="0"/>
        <w:spacing w:line="360" w:lineRule="auto"/>
        <w:jc w:val="left"/>
        <w:rPr>
          <w:rFonts w:ascii="宋体" w:hAnsi="宋体" w:cs="宋体"/>
          <w:b/>
          <w:bCs/>
          <w:sz w:val="24"/>
        </w:rPr>
      </w:pPr>
      <w:bookmarkStart w:id="351" w:name="_Toc1084"/>
      <w:bookmarkStart w:id="352" w:name="_Toc21173"/>
      <w:bookmarkStart w:id="353" w:name="_Toc16788"/>
      <w:bookmarkStart w:id="354" w:name="_Toc30502"/>
      <w:bookmarkStart w:id="355" w:name="_Toc9690"/>
      <w:bookmarkStart w:id="356" w:name="_Toc32695"/>
      <w:bookmarkStart w:id="357" w:name="_Toc4964"/>
      <w:bookmarkStart w:id="358" w:name="_Toc10282"/>
      <w:bookmarkStart w:id="359" w:name="_Toc18240"/>
      <w:bookmarkStart w:id="360" w:name="_Toc15398"/>
      <w:bookmarkStart w:id="361" w:name="_Toc30498"/>
      <w:r>
        <w:rPr>
          <w:rFonts w:hint="eastAsia" w:ascii="宋体" w:hAnsi="宋体" w:cs="宋体"/>
          <w:b/>
          <w:bCs/>
          <w:sz w:val="24"/>
        </w:rPr>
        <w:t>价格部分（权重</w:t>
      </w:r>
      <w:r>
        <w:rPr>
          <w:rFonts w:hint="eastAsia" w:ascii="宋体" w:hAnsi="宋体" w:cs="宋体"/>
          <w:b/>
          <w:bCs/>
          <w:sz w:val="24"/>
          <w:lang w:val="en-US" w:eastAsia="zh-CN"/>
        </w:rPr>
        <w:t>20</w:t>
      </w:r>
      <w:r>
        <w:rPr>
          <w:rFonts w:hint="eastAsia" w:ascii="宋体" w:hAnsi="宋体" w:cs="宋体"/>
          <w:b/>
          <w:bCs/>
          <w:sz w:val="24"/>
        </w:rPr>
        <w:t>%）</w:t>
      </w:r>
      <w:bookmarkEnd w:id="351"/>
      <w:bookmarkEnd w:id="352"/>
      <w:bookmarkEnd w:id="353"/>
      <w:bookmarkEnd w:id="354"/>
      <w:bookmarkEnd w:id="355"/>
      <w:bookmarkEnd w:id="356"/>
      <w:bookmarkEnd w:id="357"/>
      <w:bookmarkEnd w:id="358"/>
      <w:bookmarkEnd w:id="359"/>
      <w:bookmarkEnd w:id="360"/>
      <w:bookmarkEnd w:id="361"/>
    </w:p>
    <w:tbl>
      <w:tblPr>
        <w:tblStyle w:val="24"/>
        <w:tblW w:w="9705" w:type="dxa"/>
        <w:tblInd w:w="-303" w:type="dxa"/>
        <w:tblLayout w:type="fixed"/>
        <w:tblCellMar>
          <w:top w:w="0" w:type="dxa"/>
          <w:left w:w="108" w:type="dxa"/>
          <w:bottom w:w="0" w:type="dxa"/>
          <w:right w:w="108" w:type="dxa"/>
        </w:tblCellMar>
      </w:tblPr>
      <w:tblGrid>
        <w:gridCol w:w="840"/>
        <w:gridCol w:w="1290"/>
        <w:gridCol w:w="672"/>
        <w:gridCol w:w="6903"/>
      </w:tblGrid>
      <w:tr>
        <w:tblPrEx>
          <w:tblCellMar>
            <w:top w:w="0" w:type="dxa"/>
            <w:left w:w="108" w:type="dxa"/>
            <w:bottom w:w="0" w:type="dxa"/>
            <w:right w:w="108" w:type="dxa"/>
          </w:tblCellMar>
        </w:tblPrEx>
        <w:trPr>
          <w:trHeight w:val="683" w:hRule="atLeast"/>
        </w:trPr>
        <w:tc>
          <w:tcPr>
            <w:tcW w:w="840" w:type="dxa"/>
            <w:tcBorders>
              <w:top w:val="single" w:color="auto" w:sz="4" w:space="0"/>
              <w:left w:val="single" w:color="auto" w:sz="4" w:space="0"/>
              <w:bottom w:val="single" w:color="auto" w:sz="4" w:space="0"/>
              <w:right w:val="single" w:color="auto" w:sz="4" w:space="0"/>
            </w:tcBorders>
            <w:shd w:val="clear" w:color="auto" w:fill="E6E6E6"/>
            <w:vAlign w:val="center"/>
          </w:tcPr>
          <w:p>
            <w:pPr>
              <w:pStyle w:val="35"/>
              <w:adjustRightInd w:val="0"/>
              <w:snapToGrid w:val="0"/>
              <w:spacing w:line="360" w:lineRule="auto"/>
              <w:rPr>
                <w:rFonts w:ascii="宋体" w:hAnsi="宋体" w:cs="宋体"/>
                <w:color w:val="auto"/>
              </w:rPr>
            </w:pPr>
            <w:r>
              <w:rPr>
                <w:rFonts w:hint="eastAsia" w:ascii="宋体" w:hAnsi="宋体" w:cs="宋体"/>
                <w:color w:val="auto"/>
              </w:rPr>
              <w:t>评审</w:t>
            </w:r>
          </w:p>
          <w:p>
            <w:pPr>
              <w:pStyle w:val="35"/>
              <w:adjustRightInd w:val="0"/>
              <w:snapToGrid w:val="0"/>
              <w:spacing w:line="360" w:lineRule="auto"/>
              <w:rPr>
                <w:rFonts w:ascii="宋体" w:hAnsi="宋体" w:cs="宋体"/>
                <w:color w:val="auto"/>
              </w:rPr>
            </w:pPr>
            <w:r>
              <w:rPr>
                <w:rFonts w:hint="eastAsia" w:ascii="宋体" w:hAnsi="宋体" w:cs="宋体"/>
                <w:color w:val="auto"/>
              </w:rPr>
              <w:t>内容</w:t>
            </w:r>
          </w:p>
        </w:tc>
        <w:tc>
          <w:tcPr>
            <w:tcW w:w="1290" w:type="dxa"/>
            <w:tcBorders>
              <w:top w:val="single" w:color="auto" w:sz="4" w:space="0"/>
              <w:left w:val="single" w:color="auto" w:sz="4" w:space="0"/>
              <w:bottom w:val="single" w:color="auto" w:sz="4" w:space="0"/>
              <w:right w:val="single" w:color="auto" w:sz="4" w:space="0"/>
            </w:tcBorders>
            <w:shd w:val="clear" w:color="auto" w:fill="E6E6E6"/>
            <w:vAlign w:val="center"/>
          </w:tcPr>
          <w:p>
            <w:pPr>
              <w:pStyle w:val="35"/>
              <w:adjustRightInd w:val="0"/>
              <w:snapToGrid w:val="0"/>
              <w:spacing w:line="360" w:lineRule="auto"/>
              <w:rPr>
                <w:rFonts w:ascii="宋体" w:hAnsi="宋体" w:cs="宋体"/>
                <w:color w:val="auto"/>
              </w:rPr>
            </w:pPr>
            <w:r>
              <w:rPr>
                <w:rFonts w:hint="eastAsia" w:ascii="宋体" w:hAnsi="宋体" w:cs="宋体"/>
                <w:color w:val="auto"/>
              </w:rPr>
              <w:t>权重值</w:t>
            </w:r>
          </w:p>
        </w:tc>
        <w:tc>
          <w:tcPr>
            <w:tcW w:w="672" w:type="dxa"/>
            <w:tcBorders>
              <w:top w:val="single" w:color="auto" w:sz="4" w:space="0"/>
              <w:left w:val="single" w:color="auto" w:sz="4" w:space="0"/>
              <w:bottom w:val="single" w:color="auto" w:sz="4" w:space="0"/>
              <w:right w:val="single" w:color="auto" w:sz="4" w:space="0"/>
            </w:tcBorders>
            <w:shd w:val="clear" w:color="auto" w:fill="E6E6E6"/>
            <w:vAlign w:val="center"/>
          </w:tcPr>
          <w:p>
            <w:pPr>
              <w:pStyle w:val="35"/>
              <w:adjustRightInd w:val="0"/>
              <w:snapToGrid w:val="0"/>
              <w:spacing w:line="360" w:lineRule="auto"/>
              <w:rPr>
                <w:rFonts w:ascii="宋体" w:hAnsi="宋体" w:cs="宋体"/>
                <w:color w:val="auto"/>
              </w:rPr>
            </w:pPr>
            <w:r>
              <w:rPr>
                <w:rFonts w:hint="eastAsia" w:ascii="宋体" w:hAnsi="宋体" w:cs="宋体"/>
                <w:color w:val="auto"/>
              </w:rPr>
              <w:t>满分值</w:t>
            </w:r>
          </w:p>
        </w:tc>
        <w:tc>
          <w:tcPr>
            <w:tcW w:w="6903" w:type="dxa"/>
            <w:tcBorders>
              <w:top w:val="single" w:color="auto" w:sz="4" w:space="0"/>
              <w:left w:val="single" w:color="auto" w:sz="4" w:space="0"/>
              <w:bottom w:val="single" w:color="auto" w:sz="4" w:space="0"/>
              <w:right w:val="single" w:color="auto" w:sz="4" w:space="0"/>
            </w:tcBorders>
            <w:shd w:val="clear" w:color="auto" w:fill="E6E6E6"/>
            <w:vAlign w:val="center"/>
          </w:tcPr>
          <w:p>
            <w:pPr>
              <w:pStyle w:val="35"/>
              <w:adjustRightInd w:val="0"/>
              <w:snapToGrid w:val="0"/>
              <w:spacing w:line="360" w:lineRule="auto"/>
              <w:rPr>
                <w:rFonts w:ascii="宋体" w:hAnsi="宋体" w:cs="宋体"/>
                <w:color w:val="auto"/>
              </w:rPr>
            </w:pPr>
            <w:r>
              <w:rPr>
                <w:rFonts w:hint="eastAsia" w:ascii="宋体" w:hAnsi="宋体" w:cs="宋体"/>
                <w:color w:val="auto"/>
              </w:rPr>
              <w:t>评  审  子  项</w:t>
            </w:r>
          </w:p>
        </w:tc>
      </w:tr>
      <w:tr>
        <w:tblPrEx>
          <w:tblCellMar>
            <w:top w:w="0" w:type="dxa"/>
            <w:left w:w="108" w:type="dxa"/>
            <w:bottom w:w="0" w:type="dxa"/>
            <w:right w:w="108" w:type="dxa"/>
          </w:tblCellMar>
        </w:tblPrEx>
        <w:trPr>
          <w:cantSplit/>
          <w:trHeight w:val="1982" w:hRule="atLeast"/>
        </w:trPr>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b/>
                <w:bCs/>
                <w:szCs w:val="21"/>
              </w:rPr>
            </w:pPr>
            <w:r>
              <w:rPr>
                <w:rFonts w:hint="eastAsia" w:ascii="宋体" w:hAnsi="宋体" w:cs="宋体"/>
                <w:b/>
                <w:bCs/>
                <w:szCs w:val="21"/>
              </w:rPr>
              <w:t>价格部分</w:t>
            </w: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b/>
                <w:bCs/>
                <w:sz w:val="24"/>
                <w:lang w:val="en-US" w:eastAsia="zh-CN"/>
              </w:rPr>
              <w:t>20</w:t>
            </w:r>
            <w:r>
              <w:rPr>
                <w:rFonts w:hint="eastAsia" w:ascii="宋体" w:hAnsi="宋体" w:cs="宋体"/>
                <w:b/>
                <w:bCs/>
                <w:sz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pStyle w:val="11"/>
              <w:adjustRightInd w:val="0"/>
              <w:snapToGrid w:val="0"/>
              <w:spacing w:line="360" w:lineRule="auto"/>
              <w:jc w:val="center"/>
              <w:rPr>
                <w:rFonts w:cs="宋体"/>
                <w:sz w:val="21"/>
              </w:rPr>
            </w:pPr>
            <w:r>
              <w:rPr>
                <w:rFonts w:hint="eastAsia" w:cs="宋体"/>
                <w:sz w:val="21"/>
                <w:lang w:val="en-US" w:eastAsia="zh-CN"/>
              </w:rPr>
              <w:t>20</w:t>
            </w:r>
            <w:r>
              <w:rPr>
                <w:rFonts w:hint="eastAsia" w:cs="宋体"/>
                <w:sz w:val="21"/>
              </w:rPr>
              <w:t>分</w:t>
            </w:r>
          </w:p>
        </w:tc>
        <w:tc>
          <w:tcPr>
            <w:tcW w:w="6903" w:type="dxa"/>
            <w:tcBorders>
              <w:top w:val="single" w:color="auto" w:sz="4" w:space="0"/>
              <w:left w:val="single" w:color="auto" w:sz="4" w:space="0"/>
              <w:bottom w:val="single" w:color="auto" w:sz="4" w:space="0"/>
              <w:right w:val="single" w:color="auto" w:sz="4" w:space="0"/>
            </w:tcBorders>
            <w:vAlign w:val="center"/>
          </w:tcPr>
          <w:p>
            <w:pPr>
              <w:pStyle w:val="11"/>
              <w:adjustRightInd w:val="0"/>
              <w:snapToGrid w:val="0"/>
              <w:spacing w:line="360" w:lineRule="auto"/>
              <w:rPr>
                <w:rFonts w:cs="宋体"/>
                <w:sz w:val="21"/>
              </w:rPr>
            </w:pPr>
            <w:r>
              <w:rPr>
                <w:rFonts w:hint="eastAsia" w:cs="宋体"/>
                <w:sz w:val="21"/>
                <w:lang w:val="en-GB"/>
              </w:rPr>
              <w:t>经评</w:t>
            </w:r>
            <w:r>
              <w:rPr>
                <w:rFonts w:hint="eastAsia" w:cs="宋体"/>
                <w:sz w:val="21"/>
              </w:rPr>
              <w:t>标</w:t>
            </w:r>
            <w:r>
              <w:rPr>
                <w:rFonts w:hint="eastAsia" w:cs="宋体"/>
                <w:sz w:val="21"/>
                <w:lang w:val="en-GB"/>
              </w:rPr>
              <w:t>委</w:t>
            </w:r>
            <w:r>
              <w:rPr>
                <w:rFonts w:hint="eastAsia" w:cs="宋体"/>
                <w:sz w:val="21"/>
              </w:rPr>
              <w:t>员</w:t>
            </w:r>
            <w:r>
              <w:rPr>
                <w:rFonts w:hint="eastAsia" w:cs="宋体"/>
                <w:sz w:val="21"/>
                <w:lang w:val="en-GB"/>
              </w:rPr>
              <w:t>会审核，</w:t>
            </w:r>
            <w:r>
              <w:rPr>
                <w:rFonts w:hint="eastAsia" w:cs="宋体"/>
                <w:sz w:val="21"/>
              </w:rPr>
              <w:t>满足采购文件要求（通过资格性、符合性审查）后</w:t>
            </w:r>
            <w:r>
              <w:rPr>
                <w:rFonts w:hint="eastAsia" w:cs="宋体"/>
                <w:sz w:val="21"/>
                <w:lang w:val="en-GB"/>
              </w:rPr>
              <w:t>，以评审价格的最低价者定为评标基准价</w:t>
            </w:r>
            <w:r>
              <w:rPr>
                <w:rFonts w:hint="eastAsia" w:cs="宋体"/>
                <w:sz w:val="21"/>
              </w:rPr>
              <w:t xml:space="preserve">，其价格分为满分。       </w:t>
            </w:r>
          </w:p>
          <w:p>
            <w:pPr>
              <w:pStyle w:val="11"/>
              <w:adjustRightInd w:val="0"/>
              <w:snapToGrid w:val="0"/>
              <w:spacing w:line="360" w:lineRule="auto"/>
              <w:rPr>
                <w:rFonts w:cs="宋体"/>
                <w:sz w:val="21"/>
              </w:rPr>
            </w:pPr>
            <w:r>
              <w:rPr>
                <w:rFonts w:hint="eastAsia" w:cs="宋体"/>
                <w:sz w:val="21"/>
              </w:rPr>
              <w:t>其他供应商的价格分统一按照下列公式计算：</w:t>
            </w:r>
          </w:p>
          <w:p>
            <w:pPr>
              <w:pStyle w:val="11"/>
              <w:adjustRightInd w:val="0"/>
              <w:snapToGrid w:val="0"/>
              <w:spacing w:line="360" w:lineRule="auto"/>
              <w:rPr>
                <w:rFonts w:cs="宋体"/>
                <w:sz w:val="21"/>
              </w:rPr>
            </w:pPr>
            <w:r>
              <w:rPr>
                <w:rFonts w:hint="eastAsia" w:cs="宋体"/>
                <w:sz w:val="21"/>
              </w:rPr>
              <w:t>投标报价得分=(评标基准价/</w:t>
            </w:r>
            <w:r>
              <w:rPr>
                <w:rFonts w:hint="eastAsia" w:cs="宋体"/>
                <w:sz w:val="21"/>
                <w:lang w:val="en-GB"/>
              </w:rPr>
              <w:t>评审价格</w:t>
            </w:r>
            <w:r>
              <w:rPr>
                <w:rFonts w:hint="eastAsia" w:cs="宋体"/>
                <w:sz w:val="21"/>
              </w:rPr>
              <w:t>)×价格权值×100</w:t>
            </w:r>
          </w:p>
          <w:p>
            <w:pPr>
              <w:pStyle w:val="11"/>
              <w:adjustRightInd w:val="0"/>
              <w:snapToGrid w:val="0"/>
              <w:spacing w:line="360" w:lineRule="auto"/>
              <w:rPr>
                <w:rFonts w:cs="宋体"/>
                <w:sz w:val="21"/>
              </w:rPr>
            </w:pPr>
            <w:r>
              <w:rPr>
                <w:rFonts w:hint="eastAsia" w:cs="宋体"/>
                <w:sz w:val="21"/>
              </w:rPr>
              <w:t>注:投标报价得分四舍五入后，小数点后保留两位有效数。</w:t>
            </w:r>
          </w:p>
        </w:tc>
      </w:tr>
    </w:tbl>
    <w:p>
      <w:pPr>
        <w:bidi w:val="0"/>
        <w:rPr>
          <w:rFonts w:hint="eastAsia"/>
        </w:rPr>
      </w:pPr>
    </w:p>
    <w:p>
      <w:pPr>
        <w:adjustRightInd w:val="0"/>
        <w:snapToGrid w:val="0"/>
        <w:spacing w:line="360" w:lineRule="auto"/>
        <w:rPr>
          <w:szCs w:val="21"/>
        </w:rPr>
      </w:pPr>
      <w:r>
        <w:rPr>
          <w:rFonts w:hint="eastAsia"/>
          <w:szCs w:val="21"/>
        </w:rPr>
        <w:t>20.</w:t>
      </w:r>
      <w:r>
        <w:rPr>
          <w:rFonts w:hint="eastAsia"/>
          <w:szCs w:val="21"/>
          <w:lang w:val="en-US" w:eastAsia="zh-CN"/>
        </w:rPr>
        <w:t>1</w:t>
      </w:r>
      <w:r>
        <w:rPr>
          <w:rFonts w:hint="eastAsia"/>
          <w:szCs w:val="21"/>
        </w:rPr>
        <w:t xml:space="preserve"> 评分汇总</w:t>
      </w:r>
    </w:p>
    <w:p>
      <w:pPr>
        <w:adjustRightInd w:val="0"/>
        <w:snapToGrid w:val="0"/>
        <w:spacing w:line="360" w:lineRule="auto"/>
        <w:ind w:left="210" w:leftChars="100" w:firstLine="420" w:firstLineChars="200"/>
        <w:rPr>
          <w:szCs w:val="21"/>
        </w:rPr>
      </w:pPr>
      <w:r>
        <w:rPr>
          <w:rFonts w:hint="eastAsia"/>
          <w:szCs w:val="21"/>
        </w:rPr>
        <w:t>技术</w:t>
      </w:r>
      <w:r>
        <w:rPr>
          <w:szCs w:val="21"/>
        </w:rPr>
        <w:t>总分＝各评委评分总和÷评委人数</w:t>
      </w:r>
    </w:p>
    <w:p>
      <w:pPr>
        <w:adjustRightInd w:val="0"/>
        <w:snapToGrid w:val="0"/>
        <w:spacing w:line="360" w:lineRule="auto"/>
        <w:ind w:left="210" w:leftChars="100" w:firstLine="420" w:firstLineChars="200"/>
        <w:rPr>
          <w:szCs w:val="21"/>
        </w:rPr>
      </w:pPr>
      <w:r>
        <w:rPr>
          <w:szCs w:val="21"/>
        </w:rPr>
        <w:t>商务总分＝各评委评分总和÷评委人数</w:t>
      </w:r>
    </w:p>
    <w:p>
      <w:pPr>
        <w:adjustRightInd w:val="0"/>
        <w:snapToGrid w:val="0"/>
        <w:spacing w:line="360" w:lineRule="auto"/>
        <w:ind w:left="210" w:leftChars="100" w:firstLine="420" w:firstLineChars="200"/>
        <w:rPr>
          <w:szCs w:val="21"/>
        </w:rPr>
      </w:pPr>
      <w:r>
        <w:rPr>
          <w:szCs w:val="21"/>
        </w:rPr>
        <w:t>价格总分＝ 统一公式计算得分</w:t>
      </w:r>
    </w:p>
    <w:p>
      <w:pPr>
        <w:adjustRightInd w:val="0"/>
        <w:snapToGrid w:val="0"/>
        <w:spacing w:line="360" w:lineRule="auto"/>
        <w:ind w:left="210" w:leftChars="100" w:firstLine="413" w:firstLineChars="196"/>
        <w:rPr>
          <w:b/>
          <w:szCs w:val="21"/>
        </w:rPr>
      </w:pPr>
      <w:r>
        <w:rPr>
          <w:b/>
          <w:szCs w:val="21"/>
        </w:rPr>
        <w:t>综合总分</w:t>
      </w:r>
      <w:r>
        <w:rPr>
          <w:b/>
          <w:bCs/>
          <w:szCs w:val="21"/>
        </w:rPr>
        <w:t>＝</w:t>
      </w:r>
      <w:r>
        <w:rPr>
          <w:rFonts w:hint="eastAsia"/>
          <w:b/>
          <w:bCs/>
          <w:szCs w:val="21"/>
        </w:rPr>
        <w:t>技术</w:t>
      </w:r>
      <w:r>
        <w:rPr>
          <w:b/>
          <w:bCs/>
          <w:szCs w:val="21"/>
        </w:rPr>
        <w:t>总分+商务总分+价格总分</w:t>
      </w:r>
    </w:p>
    <w:p>
      <w:pPr>
        <w:adjustRightInd w:val="0"/>
        <w:snapToGrid w:val="0"/>
        <w:spacing w:line="360" w:lineRule="auto"/>
        <w:ind w:firstLine="840" w:firstLineChars="400"/>
        <w:rPr>
          <w:szCs w:val="21"/>
        </w:rPr>
      </w:pPr>
      <w:r>
        <w:rPr>
          <w:bCs/>
          <w:szCs w:val="21"/>
        </w:rPr>
        <w:t>（每次评分汇总均精确到二位小数）</w:t>
      </w:r>
    </w:p>
    <w:p>
      <w:pPr>
        <w:numPr>
          <w:ilvl w:val="0"/>
          <w:numId w:val="10"/>
        </w:numPr>
        <w:adjustRightInd w:val="0"/>
        <w:snapToGrid w:val="0"/>
        <w:spacing w:line="360" w:lineRule="auto"/>
        <w:rPr>
          <w:b/>
          <w:szCs w:val="21"/>
        </w:rPr>
      </w:pPr>
      <w:bookmarkStart w:id="362" w:name="_Toc159385064"/>
      <w:bookmarkStart w:id="363" w:name="_Toc136682905"/>
      <w:bookmarkStart w:id="364" w:name="_Toc136662929"/>
      <w:bookmarkStart w:id="365" w:name="_Toc119321140"/>
      <w:r>
        <w:rPr>
          <w:rFonts w:hint="eastAsia"/>
          <w:b/>
          <w:szCs w:val="21"/>
        </w:rPr>
        <w:t>推荐结果</w:t>
      </w:r>
      <w:bookmarkEnd w:id="362"/>
      <w:bookmarkEnd w:id="363"/>
      <w:bookmarkEnd w:id="364"/>
      <w:bookmarkEnd w:id="365"/>
    </w:p>
    <w:p>
      <w:pPr>
        <w:numPr>
          <w:ilvl w:val="1"/>
          <w:numId w:val="10"/>
        </w:numPr>
        <w:adjustRightInd w:val="0"/>
        <w:snapToGrid w:val="0"/>
        <w:spacing w:line="360" w:lineRule="auto"/>
        <w:rPr>
          <w:szCs w:val="21"/>
        </w:rPr>
      </w:pPr>
      <w:r>
        <w:rPr>
          <w:rFonts w:hint="eastAsia"/>
          <w:szCs w:val="21"/>
        </w:rPr>
        <w:t>磋商小组</w:t>
      </w:r>
      <w:r>
        <w:rPr>
          <w:rFonts w:hint="eastAsia"/>
          <w:szCs w:val="21"/>
          <w:lang w:val="en-GB"/>
        </w:rPr>
        <w:t>将各投标人商务、技术、价格部分得分汇总，按综合总分从高到低顺序排列，推荐中标候选供应商，推荐数量详见“重要须知事项前置表”。</w:t>
      </w:r>
    </w:p>
    <w:p>
      <w:pPr>
        <w:numPr>
          <w:ilvl w:val="1"/>
          <w:numId w:val="10"/>
        </w:numPr>
        <w:adjustRightInd w:val="0"/>
        <w:snapToGrid w:val="0"/>
        <w:spacing w:line="360" w:lineRule="auto"/>
        <w:rPr>
          <w:szCs w:val="21"/>
          <w:lang w:val="en-GB"/>
        </w:rPr>
      </w:pPr>
      <w:r>
        <w:rPr>
          <w:rFonts w:hint="eastAsia"/>
          <w:szCs w:val="21"/>
          <w:lang w:val="en-GB"/>
        </w:rPr>
        <w:t>若候选人综合总分相同时，</w:t>
      </w:r>
      <w:r>
        <w:rPr>
          <w:rFonts w:hint="eastAsia"/>
          <w:szCs w:val="21"/>
        </w:rPr>
        <w:t>投标报价由低到高顺序排列。得分且投标报价相同的并列。投标文件满足招标文件全部实质性要求，且按照评审因素的量化指标评审得分最高的投标人为排名第一的中标候选人。</w:t>
      </w:r>
      <w:r>
        <w:rPr>
          <w:rFonts w:hint="eastAsia"/>
          <w:szCs w:val="21"/>
          <w:lang w:val="en-GB"/>
        </w:rPr>
        <w:t>如仍出现相同时，则由采购人选择确定。</w:t>
      </w:r>
    </w:p>
    <w:p>
      <w:pPr>
        <w:numPr>
          <w:ilvl w:val="1"/>
          <w:numId w:val="10"/>
        </w:numPr>
        <w:adjustRightInd w:val="0"/>
        <w:snapToGrid w:val="0"/>
        <w:spacing w:line="360" w:lineRule="auto"/>
        <w:jc w:val="left"/>
        <w:rPr>
          <w:sz w:val="32"/>
        </w:rPr>
      </w:pPr>
      <w:r>
        <w:rPr>
          <w:szCs w:val="21"/>
        </w:rPr>
        <w:t>评审过程中涉及和产生的所有程序文件、评审意见、表决意见和推荐意见等均须由</w:t>
      </w:r>
      <w:r>
        <w:rPr>
          <w:rFonts w:hint="eastAsia"/>
          <w:szCs w:val="21"/>
        </w:rPr>
        <w:t>磋商小组</w:t>
      </w:r>
      <w:r>
        <w:rPr>
          <w:szCs w:val="21"/>
        </w:rPr>
        <w:t>成员签名确认。</w:t>
      </w:r>
    </w:p>
    <w:bookmarkEnd w:id="317"/>
    <w:bookmarkEnd w:id="318"/>
    <w:bookmarkEnd w:id="319"/>
    <w:p>
      <w:pPr>
        <w:pStyle w:val="29"/>
      </w:pPr>
    </w:p>
    <w:p>
      <w:pPr>
        <w:pStyle w:val="3"/>
        <w:numPr>
          <w:ilvl w:val="0"/>
          <w:numId w:val="6"/>
        </w:numPr>
        <w:tabs>
          <w:tab w:val="left" w:pos="0"/>
        </w:tabs>
        <w:snapToGrid w:val="0"/>
        <w:ind w:left="2" w:firstLine="0"/>
        <w:rPr>
          <w:rFonts w:ascii="宋体-方正超大字符集" w:eastAsia="宋体-方正超大字符集"/>
          <w:color w:val="auto"/>
          <w:sz w:val="24"/>
        </w:rPr>
      </w:pPr>
      <w:bookmarkStart w:id="366" w:name="_Toc419106560"/>
      <w:bookmarkStart w:id="367" w:name="_Toc15295"/>
      <w:bookmarkStart w:id="368" w:name="_Toc373767196"/>
      <w:bookmarkStart w:id="369" w:name="_Toc325031939"/>
      <w:bookmarkStart w:id="370" w:name="_Toc29980"/>
      <w:bookmarkStart w:id="371" w:name="_Toc259803666"/>
      <w:bookmarkStart w:id="372" w:name="_Toc113157426"/>
      <w:bookmarkStart w:id="373" w:name="_Toc31821"/>
      <w:bookmarkStart w:id="374" w:name="_Toc23427"/>
      <w:bookmarkStart w:id="375" w:name="_Toc17689"/>
      <w:bookmarkStart w:id="376" w:name="_Toc310519883"/>
      <w:bookmarkStart w:id="377" w:name="_Toc20988"/>
      <w:bookmarkStart w:id="378" w:name="_Toc25726405"/>
      <w:bookmarkStart w:id="379" w:name="_Toc25037541"/>
      <w:bookmarkStart w:id="380" w:name="_Toc26261452"/>
      <w:r>
        <w:rPr>
          <w:rFonts w:hint="eastAsia" w:ascii="宋体-方正超大字符集" w:eastAsia="宋体-方正超大字符集"/>
          <w:color w:val="auto"/>
          <w:sz w:val="24"/>
        </w:rPr>
        <w:t>确定评审结果</w:t>
      </w:r>
      <w:bookmarkEnd w:id="366"/>
      <w:bookmarkEnd w:id="367"/>
      <w:bookmarkEnd w:id="368"/>
      <w:bookmarkEnd w:id="369"/>
      <w:bookmarkEnd w:id="370"/>
      <w:bookmarkEnd w:id="371"/>
      <w:bookmarkEnd w:id="372"/>
      <w:bookmarkEnd w:id="373"/>
      <w:bookmarkEnd w:id="374"/>
      <w:bookmarkEnd w:id="375"/>
      <w:bookmarkEnd w:id="376"/>
      <w:bookmarkEnd w:id="377"/>
    </w:p>
    <w:p>
      <w:pPr>
        <w:numPr>
          <w:ilvl w:val="0"/>
          <w:numId w:val="10"/>
        </w:numPr>
        <w:adjustRightInd w:val="0"/>
        <w:snapToGrid w:val="0"/>
        <w:spacing w:line="360" w:lineRule="auto"/>
        <w:rPr>
          <w:b/>
          <w:sz w:val="24"/>
        </w:rPr>
      </w:pPr>
      <w:r>
        <w:rPr>
          <w:rFonts w:hint="eastAsia"/>
          <w:b/>
          <w:sz w:val="24"/>
        </w:rPr>
        <w:t>确定评审结果</w:t>
      </w:r>
      <w:bookmarkEnd w:id="378"/>
      <w:bookmarkEnd w:id="379"/>
      <w:bookmarkEnd w:id="380"/>
    </w:p>
    <w:p>
      <w:pPr>
        <w:adjustRightInd w:val="0"/>
        <w:snapToGrid w:val="0"/>
        <w:spacing w:line="360" w:lineRule="auto"/>
        <w:ind w:firstLine="420" w:firstLineChars="200"/>
        <w:jc w:val="left"/>
      </w:pPr>
      <w:bookmarkStart w:id="381" w:name="_Toc25037542"/>
      <w:bookmarkStart w:id="382" w:name="_Toc119321143"/>
      <w:bookmarkStart w:id="383" w:name="_Toc25726406"/>
      <w:bookmarkStart w:id="384" w:name="_Toc136682908"/>
      <w:bookmarkStart w:id="385" w:name="_Toc159385067"/>
      <w:bookmarkStart w:id="386" w:name="_Toc34704912"/>
      <w:bookmarkStart w:id="387" w:name="_Toc136662932"/>
      <w:bookmarkStart w:id="388" w:name="_Toc26261453"/>
      <w:r>
        <w:rPr>
          <w:rFonts w:hint="eastAsia"/>
        </w:rPr>
        <w:t>采购人可事先授权磋商小组直接确定成交供应商，或在法定时间内对评审结果进行确认。评审结束后，采购代理机构根据磋商小组评审意见和前期组织情况整理出《评审报告》送交采购人。</w:t>
      </w:r>
    </w:p>
    <w:p>
      <w:pPr>
        <w:adjustRightInd w:val="0"/>
        <w:snapToGrid w:val="0"/>
        <w:spacing w:line="360" w:lineRule="auto"/>
        <w:ind w:firstLine="420" w:firstLineChars="200"/>
        <w:jc w:val="left"/>
      </w:pPr>
      <w:r>
        <w:rPr>
          <w:rFonts w:hint="eastAsia"/>
        </w:rPr>
        <w:t>如需对评审结果进行确认时，采购人可根据磋商小组推荐的成交候选供应商名单，按照采购文件的要求对成交候选供应商的主要服务和商务条款的响应程度作进一步的核实，确保响应方案能够完全满足采购文件的实质性要求，无出现重大偏离，且方案合法、真实、可行。</w:t>
      </w:r>
    </w:p>
    <w:p>
      <w:pPr>
        <w:adjustRightInd w:val="0"/>
        <w:snapToGrid w:val="0"/>
        <w:spacing w:line="360" w:lineRule="auto"/>
        <w:ind w:firstLine="420" w:firstLineChars="200"/>
        <w:jc w:val="left"/>
      </w:pPr>
      <w:r>
        <w:rPr>
          <w:rFonts w:hint="eastAsia"/>
        </w:rPr>
        <w:t>采购人因故逾期确认评审结果时，应书面提出异议。采购人逾期未确定成交结果且不提出异议的，视为确定评审报告提出的排名第一的供应商为成交供应商。</w:t>
      </w:r>
      <w:bookmarkEnd w:id="381"/>
    </w:p>
    <w:p>
      <w:pPr>
        <w:numPr>
          <w:ilvl w:val="0"/>
          <w:numId w:val="10"/>
        </w:numPr>
        <w:adjustRightInd w:val="0"/>
        <w:snapToGrid w:val="0"/>
        <w:spacing w:line="360" w:lineRule="auto"/>
        <w:rPr>
          <w:b/>
          <w:sz w:val="24"/>
        </w:rPr>
      </w:pPr>
      <w:r>
        <w:rPr>
          <w:rFonts w:hint="eastAsia"/>
          <w:b/>
          <w:sz w:val="24"/>
        </w:rPr>
        <w:t>成交通知</w:t>
      </w:r>
      <w:bookmarkEnd w:id="382"/>
      <w:bookmarkEnd w:id="383"/>
      <w:bookmarkEnd w:id="384"/>
      <w:bookmarkEnd w:id="385"/>
      <w:bookmarkEnd w:id="386"/>
      <w:bookmarkEnd w:id="387"/>
      <w:bookmarkEnd w:id="388"/>
    </w:p>
    <w:p>
      <w:pPr>
        <w:numPr>
          <w:ilvl w:val="1"/>
          <w:numId w:val="10"/>
        </w:numPr>
        <w:adjustRightInd w:val="0"/>
        <w:snapToGrid w:val="0"/>
        <w:spacing w:line="360" w:lineRule="auto"/>
      </w:pPr>
      <w:bookmarkStart w:id="389" w:name="_Toc25726407"/>
      <w:bookmarkStart w:id="390" w:name="_Toc25037543"/>
      <w:bookmarkStart w:id="391" w:name="_Toc34704913"/>
      <w:bookmarkStart w:id="392" w:name="_Toc26261454"/>
      <w:bookmarkStart w:id="393" w:name="_Toc136682909"/>
      <w:bookmarkStart w:id="394" w:name="_Toc136662933"/>
      <w:bookmarkStart w:id="395" w:name="_Toc159385068"/>
      <w:bookmarkStart w:id="396" w:name="_Toc119321144"/>
      <w:r>
        <w:rPr>
          <w:rFonts w:hint="eastAsia"/>
        </w:rPr>
        <w:t>采购人确定评审结果后，采购代理机构将在法定时间内向成交供应商签发《成交通知书》，同时在指定媒体发布成交公告。未成交的供应商可通过指定媒体获知采购结果或到采购代理机构领取《采购结果通知书》。</w:t>
      </w:r>
    </w:p>
    <w:p>
      <w:pPr>
        <w:numPr>
          <w:ilvl w:val="1"/>
          <w:numId w:val="10"/>
        </w:numPr>
        <w:adjustRightInd w:val="0"/>
        <w:snapToGrid w:val="0"/>
        <w:spacing w:line="360" w:lineRule="auto"/>
      </w:pPr>
      <w:r>
        <w:rPr>
          <w:rFonts w:hint="eastAsia"/>
        </w:rPr>
        <w:t>《成交通知书》将作为授予合同资格的唯一合法依据。</w:t>
      </w:r>
    </w:p>
    <w:p>
      <w:pPr>
        <w:numPr>
          <w:ilvl w:val="1"/>
          <w:numId w:val="10"/>
        </w:numPr>
        <w:adjustRightInd w:val="0"/>
        <w:snapToGrid w:val="0"/>
        <w:spacing w:line="360" w:lineRule="auto"/>
      </w:pPr>
      <w:r>
        <w:rPr>
          <w:rFonts w:hint="eastAsia"/>
        </w:rPr>
        <w:t>在未取得合法理由而获批复前，成交供应商擅自放弃成交资格，则须承担相应的违约责任，并赔偿采购方由此所造成的一切经济损失。</w:t>
      </w:r>
    </w:p>
    <w:p>
      <w:pPr>
        <w:numPr>
          <w:ilvl w:val="1"/>
          <w:numId w:val="10"/>
        </w:numPr>
        <w:adjustRightInd w:val="0"/>
        <w:snapToGrid w:val="0"/>
        <w:spacing w:line="360" w:lineRule="auto"/>
      </w:pPr>
      <w:r>
        <w:rPr>
          <w:rFonts w:hint="eastAsia"/>
        </w:rPr>
        <w:t>采购方对任何参与磋商的无效行为可追究至合同生效之前，一经被查证核实认定符合无效条件的供应商，其所获得的候选资格、成交资格均无效。</w:t>
      </w:r>
    </w:p>
    <w:p>
      <w:pPr>
        <w:numPr>
          <w:ilvl w:val="0"/>
          <w:numId w:val="10"/>
        </w:numPr>
        <w:adjustRightInd w:val="0"/>
        <w:snapToGrid w:val="0"/>
        <w:spacing w:line="360" w:lineRule="auto"/>
        <w:rPr>
          <w:b/>
          <w:sz w:val="24"/>
        </w:rPr>
      </w:pPr>
      <w:r>
        <w:rPr>
          <w:rFonts w:hint="eastAsia"/>
          <w:b/>
          <w:sz w:val="24"/>
        </w:rPr>
        <w:t>替补候选供应商的适用情形</w:t>
      </w:r>
    </w:p>
    <w:p>
      <w:pPr>
        <w:numPr>
          <w:ilvl w:val="1"/>
          <w:numId w:val="10"/>
        </w:numPr>
        <w:adjustRightInd w:val="0"/>
        <w:snapToGrid w:val="0"/>
        <w:spacing w:line="360" w:lineRule="auto"/>
      </w:pPr>
      <w:r>
        <w:rPr>
          <w:rFonts w:hint="eastAsia"/>
        </w:rPr>
        <w:t>在合同签订生效之前，经监管部门同意，成交供应商因故放弃成交资格，在采购人愿意采纳替补候选供应商响应方案，且报价合理的前提下，可考虑由该替补候选供应商填补为成交供应商。</w:t>
      </w:r>
    </w:p>
    <w:p>
      <w:pPr>
        <w:numPr>
          <w:ilvl w:val="1"/>
          <w:numId w:val="10"/>
        </w:numPr>
        <w:adjustRightInd w:val="0"/>
        <w:snapToGrid w:val="0"/>
        <w:spacing w:line="360" w:lineRule="auto"/>
      </w:pPr>
      <w:r>
        <w:rPr>
          <w:rFonts w:hint="eastAsia"/>
        </w:rPr>
        <w:t>若采购人不同意采纳替补候选供应商响应方案时，则本项目作采购失败处理。</w:t>
      </w:r>
    </w:p>
    <w:p>
      <w:pPr>
        <w:numPr>
          <w:ilvl w:val="1"/>
          <w:numId w:val="10"/>
        </w:numPr>
        <w:adjustRightInd w:val="0"/>
        <w:snapToGrid w:val="0"/>
        <w:spacing w:line="360" w:lineRule="auto"/>
      </w:pPr>
      <w:r>
        <w:rPr>
          <w:rFonts w:hint="eastAsia"/>
        </w:rPr>
        <w:t>若成交候选供应商及其响应文件在评审后被审查发现存有重大偏离、或没有完全实质性响应之处时，则其成交资格无效，本项目直接作采购失败处理，替补候选供应商不得填补。</w:t>
      </w:r>
    </w:p>
    <w:p>
      <w:pPr>
        <w:numPr>
          <w:ilvl w:val="1"/>
          <w:numId w:val="10"/>
        </w:numPr>
        <w:adjustRightInd w:val="0"/>
        <w:snapToGrid w:val="0"/>
        <w:spacing w:line="360" w:lineRule="auto"/>
      </w:pPr>
      <w:r>
        <w:rPr>
          <w:rFonts w:hint="eastAsia"/>
        </w:rPr>
        <w:t>对由于不良行为而被取消成交资格者不得参与该项目的重新采购。</w:t>
      </w:r>
    </w:p>
    <w:p>
      <w:pPr>
        <w:numPr>
          <w:ilvl w:val="0"/>
          <w:numId w:val="10"/>
        </w:numPr>
        <w:adjustRightInd w:val="0"/>
        <w:snapToGrid w:val="0"/>
        <w:spacing w:line="360" w:lineRule="auto"/>
        <w:rPr>
          <w:b/>
          <w:sz w:val="24"/>
        </w:rPr>
      </w:pPr>
      <w:r>
        <w:rPr>
          <w:rFonts w:hint="eastAsia"/>
          <w:b/>
          <w:sz w:val="24"/>
        </w:rPr>
        <w:t>合同</w:t>
      </w:r>
      <w:bookmarkEnd w:id="389"/>
      <w:bookmarkEnd w:id="390"/>
      <w:bookmarkEnd w:id="391"/>
      <w:bookmarkEnd w:id="392"/>
      <w:r>
        <w:rPr>
          <w:rFonts w:hint="eastAsia"/>
          <w:b/>
          <w:sz w:val="24"/>
        </w:rPr>
        <w:t>签订、争议与跟踪</w:t>
      </w:r>
      <w:bookmarkEnd w:id="393"/>
      <w:bookmarkEnd w:id="394"/>
      <w:bookmarkEnd w:id="395"/>
      <w:bookmarkEnd w:id="396"/>
    </w:p>
    <w:p>
      <w:pPr>
        <w:numPr>
          <w:ilvl w:val="1"/>
          <w:numId w:val="10"/>
        </w:numPr>
        <w:adjustRightInd w:val="0"/>
        <w:snapToGrid w:val="0"/>
        <w:spacing w:line="360" w:lineRule="auto"/>
      </w:pPr>
      <w:r>
        <w:rPr>
          <w:rFonts w:hint="eastAsia"/>
        </w:rPr>
        <w:t>成交供应商应按照政府采购法的要求，于成交通知书发出之日起三十日内，按照采购文件确定的事项与采购人签订合同。否则，应当依法承担相应的法律责任。</w:t>
      </w:r>
    </w:p>
    <w:p>
      <w:pPr>
        <w:numPr>
          <w:ilvl w:val="1"/>
          <w:numId w:val="10"/>
        </w:numPr>
        <w:adjustRightInd w:val="0"/>
        <w:snapToGrid w:val="0"/>
        <w:spacing w:line="360" w:lineRule="auto"/>
      </w:pPr>
      <w:r>
        <w:rPr>
          <w:rFonts w:hint="eastAsia"/>
        </w:rPr>
        <w:t>采购文件、响应文件、相关澄清材料及来往确认文件，均作为合同订立和裁定争议的依据。</w:t>
      </w:r>
    </w:p>
    <w:p>
      <w:pPr>
        <w:numPr>
          <w:ilvl w:val="1"/>
          <w:numId w:val="10"/>
        </w:numPr>
        <w:adjustRightInd w:val="0"/>
        <w:snapToGrid w:val="0"/>
        <w:spacing w:line="360" w:lineRule="auto"/>
      </w:pPr>
      <w:r>
        <w:t>采购人和</w:t>
      </w:r>
      <w:r>
        <w:rPr>
          <w:rFonts w:hint="eastAsia"/>
        </w:rPr>
        <w:t>成交供应商</w:t>
      </w:r>
      <w:r>
        <w:t>应当严格按照</w:t>
      </w:r>
      <w:r>
        <w:rPr>
          <w:rFonts w:hint="eastAsia"/>
        </w:rPr>
        <w:t>采购文件</w:t>
      </w:r>
      <w:r>
        <w:t>、</w:t>
      </w:r>
      <w:r>
        <w:rPr>
          <w:rFonts w:hint="eastAsia"/>
        </w:rPr>
        <w:t>响应文件</w:t>
      </w:r>
      <w:r>
        <w:t>以及经</w:t>
      </w:r>
      <w:r>
        <w:rPr>
          <w:rFonts w:hint="eastAsia"/>
        </w:rPr>
        <w:t>磋商小组</w:t>
      </w:r>
      <w:r>
        <w:t>审核确认的评审活动</w:t>
      </w:r>
      <w:r>
        <w:rPr>
          <w:rFonts w:hint="eastAsia"/>
        </w:rPr>
        <w:t>过程</w:t>
      </w:r>
      <w:r>
        <w:t>记录签订合同，</w:t>
      </w:r>
      <w:r>
        <w:rPr>
          <w:rFonts w:hint="eastAsia"/>
        </w:rPr>
        <w:t>采购代理机构</w:t>
      </w:r>
      <w:r>
        <w:t>依照相关规定，对于合同当事人依据前面所述的材料签订的合同的真实性予以核对盖章、确认。</w:t>
      </w:r>
    </w:p>
    <w:p>
      <w:pPr>
        <w:numPr>
          <w:ilvl w:val="1"/>
          <w:numId w:val="10"/>
        </w:numPr>
        <w:adjustRightInd w:val="0"/>
        <w:snapToGrid w:val="0"/>
        <w:spacing w:line="360" w:lineRule="auto"/>
      </w:pPr>
      <w:r>
        <w:rPr>
          <w:rFonts w:hint="eastAsia"/>
        </w:rPr>
        <w:t>采购人应当自政府采购合同签订之日起2个工作日内，将政府采购合同在省级以上人民政府财政部门指定的媒体上公告，但政府采购合同中涉及国家秘密、商业秘密的内容除外。</w:t>
      </w:r>
    </w:p>
    <w:p>
      <w:pPr>
        <w:numPr>
          <w:ilvl w:val="1"/>
          <w:numId w:val="10"/>
        </w:numPr>
        <w:adjustRightInd w:val="0"/>
        <w:snapToGrid w:val="0"/>
        <w:spacing w:line="360" w:lineRule="auto"/>
      </w:pPr>
      <w:r>
        <w:rPr>
          <w:rFonts w:hint="eastAsia"/>
        </w:rPr>
        <w:t>合同生效后一切行为均适用于《中华人民共和国民法典》，履约期间有违约过错的一方，须承担相应的责任。</w:t>
      </w:r>
    </w:p>
    <w:p>
      <w:pPr>
        <w:numPr>
          <w:ilvl w:val="0"/>
          <w:numId w:val="10"/>
        </w:numPr>
        <w:adjustRightInd w:val="0"/>
        <w:snapToGrid w:val="0"/>
        <w:spacing w:line="360" w:lineRule="auto"/>
        <w:rPr>
          <w:b/>
          <w:sz w:val="24"/>
        </w:rPr>
      </w:pPr>
      <w:bookmarkStart w:id="397" w:name="_Toc119321145"/>
      <w:bookmarkStart w:id="398" w:name="_Toc136662934"/>
      <w:bookmarkStart w:id="399" w:name="_Toc136682910"/>
      <w:bookmarkStart w:id="400" w:name="_Toc159385069"/>
      <w:bookmarkStart w:id="401" w:name="_Toc26261456"/>
      <w:bookmarkStart w:id="402" w:name="_Toc25726409"/>
      <w:bookmarkStart w:id="403" w:name="_Toc25400536"/>
      <w:bookmarkStart w:id="404" w:name="_Toc25574120"/>
      <w:bookmarkStart w:id="405" w:name="_Toc25401332"/>
      <w:bookmarkStart w:id="406" w:name="_Toc49329262"/>
      <w:r>
        <w:rPr>
          <w:rFonts w:hint="eastAsia"/>
          <w:b/>
          <w:sz w:val="24"/>
        </w:rPr>
        <w:t>询问、质疑、投诉与</w:t>
      </w:r>
      <w:bookmarkEnd w:id="397"/>
      <w:bookmarkEnd w:id="398"/>
      <w:bookmarkEnd w:id="399"/>
      <w:r>
        <w:rPr>
          <w:rFonts w:hint="eastAsia"/>
          <w:b/>
          <w:sz w:val="24"/>
        </w:rPr>
        <w:t>处理</w:t>
      </w:r>
      <w:bookmarkEnd w:id="400"/>
    </w:p>
    <w:p>
      <w:pPr>
        <w:numPr>
          <w:ilvl w:val="1"/>
          <w:numId w:val="10"/>
        </w:numPr>
        <w:adjustRightInd w:val="0"/>
        <w:snapToGrid w:val="0"/>
        <w:spacing w:line="360" w:lineRule="auto"/>
      </w:pPr>
      <w:r>
        <w:rPr>
          <w:rFonts w:hint="eastAsia"/>
        </w:rPr>
        <w:t>询问：供应商对政府采购活动事项（招标文件、采购过程和中标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w:t>
      </w:r>
      <w:r>
        <w:rPr>
          <w:rFonts w:hint="eastAsia"/>
          <w:lang w:eastAsia="zh-CN"/>
        </w:rPr>
        <w:t>响应</w:t>
      </w:r>
      <w:r>
        <w:rPr>
          <w:rFonts w:hint="eastAsia"/>
        </w:rPr>
        <w:t>邀请函》中“采购人、采购代理机构的名称、地址和联系方式”。</w:t>
      </w:r>
    </w:p>
    <w:p>
      <w:pPr>
        <w:numPr>
          <w:ilvl w:val="1"/>
          <w:numId w:val="10"/>
        </w:numPr>
        <w:adjustRightInd w:val="0"/>
        <w:snapToGrid w:val="0"/>
        <w:spacing w:line="360" w:lineRule="auto"/>
        <w:rPr>
          <w:rFonts w:ascii="宋体" w:hAnsi="宋体" w:cs="宋体"/>
          <w:color w:val="000000"/>
          <w:kern w:val="0"/>
          <w:szCs w:val="21"/>
          <w:lang w:bidi="ar"/>
        </w:rPr>
      </w:pPr>
      <w:r>
        <w:rPr>
          <w:rFonts w:hint="eastAsia"/>
        </w:rPr>
        <w:t>质疑：供应商在参与本次采购活动过程中确认自己的权益受到损害的，可以在知道或者应知其权益受损之日起7个工作日内，</w:t>
      </w:r>
      <w:r>
        <w:rPr>
          <w:rFonts w:hint="eastAsia" w:ascii="宋体" w:hAnsi="宋体" w:cs="宋体"/>
          <w:color w:val="000000"/>
          <w:kern w:val="0"/>
          <w:szCs w:val="21"/>
          <w:lang w:bidi="ar"/>
        </w:rPr>
        <w:t>以</w:t>
      </w:r>
      <w:r>
        <w:rPr>
          <w:rFonts w:hint="eastAsia"/>
        </w:rPr>
        <w:t>实名</w:t>
      </w:r>
      <w:r>
        <w:rPr>
          <w:rFonts w:hint="eastAsia" w:ascii="宋体" w:hAnsi="宋体" w:cs="宋体"/>
          <w:color w:val="000000"/>
          <w:kern w:val="0"/>
          <w:szCs w:val="21"/>
          <w:lang w:bidi="ar"/>
        </w:rPr>
        <w:t>书面原件形式向采购人或采购代理机构一次性提出针对同一采购程序环节的质疑申诉，逾期质疑无效，</w:t>
      </w:r>
      <w:r>
        <w:rPr>
          <w:rFonts w:hint="eastAsia"/>
        </w:rPr>
        <w:t>质疑内容不得含有虚假、恶意成份。依照谁主张谁举证的原则，提出质疑者必须提出明确的请求，并提交必要的证明材料。对捏造事实、滥用维权扰乱采购秩序的恶意质疑者或举证不全查无实据被驳回次数在一年内达三次以上，将纳入不良行为记录并承担相应的法律责任。</w:t>
      </w:r>
      <w:r>
        <w:rPr>
          <w:rFonts w:hint="eastAsia" w:ascii="宋体" w:hAnsi="宋体" w:cs="宋体"/>
          <w:color w:val="000000"/>
          <w:kern w:val="0"/>
          <w:szCs w:val="21"/>
          <w:lang w:bidi="ar"/>
        </w:rPr>
        <w:t>供应商应知其权益受到损害之日是指：</w:t>
      </w:r>
    </w:p>
    <w:p>
      <w:pPr>
        <w:adjustRightInd w:val="0"/>
        <w:snapToGrid w:val="0"/>
        <w:spacing w:line="360" w:lineRule="auto"/>
        <w:ind w:left="630" w:leftChars="300"/>
      </w:pPr>
      <w:r>
        <w:rPr>
          <w:rFonts w:hint="eastAsia"/>
        </w:rPr>
        <w:t xml:space="preserve">(1)对招标文件提出质疑的，为获取招标文件之日或者招标文件公告期限届满之日； </w:t>
      </w:r>
    </w:p>
    <w:p>
      <w:pPr>
        <w:adjustRightInd w:val="0"/>
        <w:snapToGrid w:val="0"/>
        <w:spacing w:line="360" w:lineRule="auto"/>
        <w:ind w:left="630" w:leftChars="300"/>
      </w:pPr>
      <w:r>
        <w:rPr>
          <w:rFonts w:hint="eastAsia"/>
        </w:rPr>
        <w:t xml:space="preserve">(2)对采购过程提出质疑的，为各采购程序环节结束之日； </w:t>
      </w:r>
    </w:p>
    <w:p>
      <w:pPr>
        <w:adjustRightInd w:val="0"/>
        <w:snapToGrid w:val="0"/>
        <w:spacing w:line="360" w:lineRule="auto"/>
        <w:ind w:left="630" w:leftChars="300"/>
      </w:pPr>
      <w:r>
        <w:rPr>
          <w:rFonts w:hint="eastAsia"/>
        </w:rPr>
        <w:t>(3)对成交结果提出质疑的，为成交结果公告期限届满之日。</w:t>
      </w:r>
    </w:p>
    <w:p>
      <w:pPr>
        <w:adjustRightInd w:val="0"/>
        <w:snapToGrid w:val="0"/>
        <w:spacing w:line="360" w:lineRule="auto"/>
        <w:ind w:left="630" w:leftChars="300"/>
      </w:pPr>
      <w:r>
        <w:rPr>
          <w:rFonts w:hint="eastAsia"/>
        </w:rPr>
        <w:t xml:space="preserve">质疑函应当包括下列主要内容： </w:t>
      </w:r>
    </w:p>
    <w:p>
      <w:pPr>
        <w:adjustRightInd w:val="0"/>
        <w:snapToGrid w:val="0"/>
        <w:spacing w:line="360" w:lineRule="auto"/>
        <w:ind w:left="630" w:leftChars="300"/>
      </w:pPr>
      <w:r>
        <w:rPr>
          <w:rFonts w:hint="eastAsia"/>
        </w:rPr>
        <w:t xml:space="preserve">(1)质疑供应商和相关供应商的名称、地址、邮编、联系人及联系电话等； </w:t>
      </w:r>
    </w:p>
    <w:p>
      <w:pPr>
        <w:adjustRightInd w:val="0"/>
        <w:snapToGrid w:val="0"/>
        <w:spacing w:line="360" w:lineRule="auto"/>
        <w:ind w:left="630" w:leftChars="300"/>
      </w:pPr>
      <w:r>
        <w:rPr>
          <w:rFonts w:hint="eastAsia"/>
        </w:rPr>
        <w:t xml:space="preserve">(2)质疑项目名称及编号、具体明确的质疑事项和与质疑事项相关的请求； </w:t>
      </w:r>
    </w:p>
    <w:p>
      <w:pPr>
        <w:adjustRightInd w:val="0"/>
        <w:snapToGrid w:val="0"/>
        <w:spacing w:line="360" w:lineRule="auto"/>
        <w:ind w:left="630" w:leftChars="300"/>
      </w:pPr>
      <w:r>
        <w:rPr>
          <w:rFonts w:hint="eastAsia"/>
        </w:rPr>
        <w:t>(3)认为采购文件、采购过程、中标和成交结果使自己的合法权益受到损害的法律依据、事实依据、相关证明材料及证据来源；提出质疑的日期。</w:t>
      </w:r>
      <w:r>
        <w:rPr>
          <w:rFonts w:hint="eastAsia" w:ascii="宋体" w:hAnsi="宋体" w:cs="宋体"/>
          <w:color w:val="000000"/>
          <w:kern w:val="0"/>
          <w:szCs w:val="21"/>
          <w:lang w:bidi="ar"/>
        </w:rPr>
        <w:t>质疑函应当署名。质疑供应商为自然人的，应当由本人签字；质疑供应商为法人或者其他组织的，应当由法定代表人、主要负责人，或者其授权代表签字或者盖章，并加盖公章。</w:t>
      </w:r>
      <w:r>
        <w:rPr>
          <w:rFonts w:hint="eastAsia"/>
        </w:rPr>
        <w:t xml:space="preserve">以联合体形式参加政府采购活动的，其质疑应当由联合体成员委托主体提出。 </w:t>
      </w:r>
    </w:p>
    <w:p>
      <w:pPr>
        <w:adjustRightInd w:val="0"/>
        <w:snapToGrid w:val="0"/>
        <w:spacing w:line="360" w:lineRule="auto"/>
        <w:ind w:left="630" w:leftChars="300"/>
      </w:pPr>
      <w:r>
        <w:rPr>
          <w:rFonts w:hint="eastAsia"/>
        </w:rPr>
        <w:t>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numPr>
          <w:ilvl w:val="1"/>
          <w:numId w:val="10"/>
        </w:numPr>
        <w:adjustRightInd w:val="0"/>
        <w:snapToGrid w:val="0"/>
        <w:spacing w:line="360" w:lineRule="auto"/>
      </w:pPr>
      <w:r>
        <w:rPr>
          <w:rFonts w:hint="eastAsia" w:ascii="宋体" w:hAnsi="宋体" w:cs="宋体"/>
          <w:color w:val="000000"/>
          <w:kern w:val="0"/>
          <w:szCs w:val="21"/>
          <w:lang w:bidi="ar"/>
        </w:rPr>
        <w:t>投诉：质疑人对采购人或采购代理机构的质疑答复不满意或在规定时间内未得到答复的，可以在答复期满后15个工作日内，向本项目监督管理部门提起投诉。</w:t>
      </w:r>
    </w:p>
    <w:p>
      <w:pPr>
        <w:numPr>
          <w:ilvl w:val="1"/>
          <w:numId w:val="10"/>
        </w:numPr>
        <w:adjustRightInd w:val="0"/>
        <w:snapToGrid w:val="0"/>
        <w:spacing w:line="360" w:lineRule="auto"/>
      </w:pPr>
      <w:r>
        <w:rPr>
          <w:rFonts w:hint="eastAsia"/>
          <w:bCs/>
        </w:rPr>
        <w:t>若对采购文件存有质疑的，可</w:t>
      </w:r>
      <w:r>
        <w:rPr>
          <w:rFonts w:hint="eastAsia"/>
        </w:rPr>
        <w:t>在递交响应文件截止前</w:t>
      </w:r>
      <w:r>
        <w:rPr>
          <w:rFonts w:hint="eastAsia"/>
          <w:bCs/>
        </w:rPr>
        <w:t>以书面（原件）形式当面向采购人或者采购代理机构提出。</w:t>
      </w:r>
    </w:p>
    <w:p>
      <w:pPr>
        <w:numPr>
          <w:ilvl w:val="1"/>
          <w:numId w:val="10"/>
        </w:numPr>
        <w:adjustRightInd w:val="0"/>
        <w:snapToGrid w:val="0"/>
        <w:spacing w:line="360" w:lineRule="auto"/>
      </w:pPr>
      <w:r>
        <w:rPr>
          <w:rFonts w:hint="eastAsia"/>
        </w:rPr>
        <w:t>未成交的供应商对成交供应商提出质疑时，质疑函及相关质疑内容的举证材料将转递予被质疑者，被质疑者对举证材料须给予书面澄清回复和接受质询，其响应文件可公开的内容须接受任何形式的审查核实。</w:t>
      </w:r>
    </w:p>
    <w:p>
      <w:pPr>
        <w:numPr>
          <w:ilvl w:val="1"/>
          <w:numId w:val="10"/>
        </w:numPr>
        <w:adjustRightInd w:val="0"/>
        <w:snapToGrid w:val="0"/>
        <w:spacing w:line="360" w:lineRule="auto"/>
      </w:pPr>
      <w:r>
        <w:rPr>
          <w:rFonts w:hint="eastAsia"/>
        </w:rPr>
        <w:t>未成交的供应商对成交结果提出的</w:t>
      </w:r>
      <w:r>
        <w:t>合法</w:t>
      </w:r>
      <w:r>
        <w:rPr>
          <w:rFonts w:hint="eastAsia"/>
        </w:rPr>
        <w:t>质疑，采购代理机构及采购人将进行审查答复；质疑者对质疑问题未获完全解决的，可向立项审批的财政管理部门反映。</w:t>
      </w:r>
    </w:p>
    <w:p>
      <w:pPr>
        <w:numPr>
          <w:ilvl w:val="1"/>
          <w:numId w:val="10"/>
        </w:numPr>
        <w:adjustRightInd w:val="0"/>
        <w:snapToGrid w:val="0"/>
        <w:spacing w:line="360" w:lineRule="auto"/>
      </w:pPr>
      <w:r>
        <w:rPr>
          <w:rFonts w:hint="eastAsia"/>
        </w:rPr>
        <w:t>本项目询问、质疑函与投诉格式范本请参考《政府采购质疑和投诉办法》、《中华人民共和国财政部令94号》。</w:t>
      </w:r>
    </w:p>
    <w:p>
      <w:pPr>
        <w:numPr>
          <w:ilvl w:val="0"/>
          <w:numId w:val="10"/>
        </w:numPr>
        <w:adjustRightInd w:val="0"/>
        <w:snapToGrid w:val="0"/>
        <w:spacing w:line="360" w:lineRule="auto"/>
        <w:rPr>
          <w:b/>
          <w:sz w:val="24"/>
        </w:rPr>
      </w:pPr>
      <w:r>
        <w:rPr>
          <w:b/>
          <w:sz w:val="24"/>
        </w:rPr>
        <w:t>不予退还</w:t>
      </w:r>
      <w:r>
        <w:rPr>
          <w:rFonts w:hint="eastAsia"/>
          <w:b/>
          <w:sz w:val="24"/>
        </w:rPr>
        <w:t>磋商保证金、列入不良行为记录或违规处罚适用情形</w:t>
      </w:r>
    </w:p>
    <w:p>
      <w:pPr>
        <w:numPr>
          <w:ilvl w:val="1"/>
          <w:numId w:val="10"/>
        </w:numPr>
        <w:adjustRightInd w:val="0"/>
        <w:snapToGrid w:val="0"/>
        <w:spacing w:line="360" w:lineRule="auto"/>
      </w:pPr>
      <w:bookmarkStart w:id="407" w:name="_Toc113157427"/>
      <w:r>
        <w:t>在递交</w:t>
      </w:r>
      <w:r>
        <w:rPr>
          <w:rFonts w:hint="eastAsia"/>
        </w:rPr>
        <w:t>响应文件</w:t>
      </w:r>
      <w:r>
        <w:t>截止时间之后，</w:t>
      </w:r>
      <w:r>
        <w:rPr>
          <w:rFonts w:hint="eastAsia"/>
        </w:rPr>
        <w:t>响应文件</w:t>
      </w:r>
      <w:r>
        <w:t>有效期满之前，撤回</w:t>
      </w:r>
      <w:r>
        <w:rPr>
          <w:rFonts w:hint="eastAsia"/>
        </w:rPr>
        <w:t>响应文件、退出磋商（磋商文件中约定的可退还磋商保证金的情形除外）或放弃磋商</w:t>
      </w:r>
      <w:r>
        <w:t>；</w:t>
      </w:r>
    </w:p>
    <w:p>
      <w:pPr>
        <w:numPr>
          <w:ilvl w:val="1"/>
          <w:numId w:val="10"/>
        </w:numPr>
        <w:adjustRightInd w:val="0"/>
        <w:snapToGrid w:val="0"/>
        <w:spacing w:line="360" w:lineRule="auto"/>
      </w:pPr>
      <w:r>
        <w:rPr>
          <w:rFonts w:hint="eastAsia"/>
        </w:rPr>
        <w:t>响应文件中提供伪造、虚假的材料或信息；</w:t>
      </w:r>
    </w:p>
    <w:p>
      <w:pPr>
        <w:numPr>
          <w:ilvl w:val="1"/>
          <w:numId w:val="10"/>
        </w:numPr>
        <w:adjustRightInd w:val="0"/>
        <w:snapToGrid w:val="0"/>
        <w:spacing w:line="360" w:lineRule="auto"/>
      </w:pPr>
      <w:r>
        <w:t>在</w:t>
      </w:r>
      <w:r>
        <w:rPr>
          <w:rFonts w:hint="eastAsia"/>
        </w:rPr>
        <w:t>评审</w:t>
      </w:r>
      <w:r>
        <w:t>期间</w:t>
      </w:r>
      <w:r>
        <w:rPr>
          <w:rFonts w:hint="eastAsia"/>
        </w:rPr>
        <w:t>，使</w:t>
      </w:r>
      <w:r>
        <w:t>用不正当手段</w:t>
      </w:r>
      <w:r>
        <w:rPr>
          <w:rFonts w:hint="eastAsia"/>
        </w:rPr>
        <w:t>试图</w:t>
      </w:r>
      <w:r>
        <w:t>影响</w:t>
      </w:r>
      <w:r>
        <w:rPr>
          <w:rFonts w:hint="eastAsia"/>
        </w:rPr>
        <w:t>、改变评审</w:t>
      </w:r>
      <w:r>
        <w:t>结果；</w:t>
      </w:r>
    </w:p>
    <w:p>
      <w:pPr>
        <w:numPr>
          <w:ilvl w:val="1"/>
          <w:numId w:val="10"/>
        </w:numPr>
        <w:adjustRightInd w:val="0"/>
        <w:snapToGrid w:val="0"/>
        <w:spacing w:line="360" w:lineRule="auto"/>
      </w:pPr>
      <w:r>
        <w:rPr>
          <w:rFonts w:hint="eastAsia"/>
        </w:rPr>
        <w:t>恶意串通或捏造事实，对其竞争对手进行诋毁、排挤、攻击；</w:t>
      </w:r>
    </w:p>
    <w:p>
      <w:pPr>
        <w:numPr>
          <w:ilvl w:val="1"/>
          <w:numId w:val="10"/>
        </w:numPr>
        <w:adjustRightInd w:val="0"/>
        <w:snapToGrid w:val="0"/>
        <w:spacing w:line="360" w:lineRule="auto"/>
      </w:pPr>
      <w:r>
        <w:rPr>
          <w:rFonts w:hint="eastAsia"/>
        </w:rPr>
        <w:t>供应商之间互相串通磋商或与采购人串通磋商；</w:t>
      </w:r>
    </w:p>
    <w:p>
      <w:pPr>
        <w:numPr>
          <w:ilvl w:val="1"/>
          <w:numId w:val="10"/>
        </w:numPr>
        <w:adjustRightInd w:val="0"/>
        <w:snapToGrid w:val="0"/>
        <w:spacing w:line="360" w:lineRule="auto"/>
      </w:pPr>
      <w:r>
        <w:rPr>
          <w:rFonts w:hint="eastAsia"/>
        </w:rPr>
        <w:t>未按磋商文件要求交纳成交服务费的；</w:t>
      </w:r>
    </w:p>
    <w:p>
      <w:pPr>
        <w:numPr>
          <w:ilvl w:val="1"/>
          <w:numId w:val="10"/>
        </w:numPr>
        <w:adjustRightInd w:val="0"/>
        <w:snapToGrid w:val="0"/>
        <w:spacing w:line="360" w:lineRule="auto"/>
      </w:pPr>
      <w:r>
        <w:rPr>
          <w:rFonts w:hint="eastAsia"/>
        </w:rPr>
        <w:t>除因不可抗力或磋商文件认可的情形以外，</w:t>
      </w:r>
      <w:r>
        <w:t>不按</w:t>
      </w:r>
      <w:r>
        <w:rPr>
          <w:rFonts w:hint="eastAsia"/>
        </w:rPr>
        <w:t>期签订合同，违背磋商承诺和拒绝、拖延履行合同义务；</w:t>
      </w:r>
    </w:p>
    <w:p>
      <w:pPr>
        <w:numPr>
          <w:ilvl w:val="1"/>
          <w:numId w:val="10"/>
        </w:numPr>
        <w:adjustRightInd w:val="0"/>
        <w:snapToGrid w:val="0"/>
        <w:spacing w:line="360" w:lineRule="auto"/>
      </w:pPr>
      <w:r>
        <w:rPr>
          <w:rFonts w:hint="eastAsia"/>
        </w:rPr>
        <w:t>擅自将合同项目或主体关键性合同义务分包转让他人；小型、微型企业将合同项目分包或转包给大型、中型企业；中型企业将合同项目分包或转包给大型企业。</w:t>
      </w:r>
    </w:p>
    <w:p>
      <w:pPr>
        <w:numPr>
          <w:ilvl w:val="1"/>
          <w:numId w:val="10"/>
        </w:numPr>
        <w:adjustRightInd w:val="0"/>
        <w:snapToGrid w:val="0"/>
        <w:spacing w:line="360" w:lineRule="auto"/>
      </w:pPr>
      <w:r>
        <w:rPr>
          <w:rFonts w:hint="eastAsia"/>
        </w:rPr>
        <w:t>获成交候选通知或公示后，无法如期按采购方要求履行承诺并提供合法有效的重要证明材料；</w:t>
      </w:r>
    </w:p>
    <w:p>
      <w:pPr>
        <w:numPr>
          <w:ilvl w:val="1"/>
          <w:numId w:val="10"/>
        </w:numPr>
        <w:adjustRightInd w:val="0"/>
        <w:snapToGrid w:val="0"/>
        <w:spacing w:line="360" w:lineRule="auto"/>
      </w:pPr>
      <w:r>
        <w:rPr>
          <w:rFonts w:hint="eastAsia"/>
        </w:rPr>
        <w:t>违反政府采购法规，违反了诚实信用、公平竞争和如实告知原则，扰乱了采购程序；</w:t>
      </w:r>
    </w:p>
    <w:p>
      <w:pPr>
        <w:numPr>
          <w:ilvl w:val="1"/>
          <w:numId w:val="10"/>
        </w:numPr>
        <w:adjustRightInd w:val="0"/>
        <w:snapToGrid w:val="0"/>
        <w:spacing w:line="360" w:lineRule="auto"/>
        <w:rPr>
          <w:b/>
          <w:bCs/>
        </w:rPr>
      </w:pPr>
      <w:r>
        <w:rPr>
          <w:rFonts w:hint="eastAsia"/>
        </w:rPr>
        <w:t>提供虚假、恶意质疑投诉材料或在一年内有三次以上查无实据的质疑投诉记录。</w:t>
      </w:r>
    </w:p>
    <w:p>
      <w:pPr>
        <w:adjustRightInd w:val="0"/>
        <w:snapToGrid w:val="0"/>
        <w:spacing w:line="360" w:lineRule="auto"/>
        <w:sectPr>
          <w:pgSz w:w="11906" w:h="16838"/>
          <w:pgMar w:top="1134" w:right="1134" w:bottom="1134" w:left="1587" w:header="567" w:footer="737" w:gutter="0"/>
          <w:pgNumType w:fmt="decimal"/>
          <w:cols w:space="720" w:num="1"/>
          <w:docGrid w:type="lines" w:linePitch="312" w:charSpace="0"/>
        </w:sectPr>
      </w:pPr>
    </w:p>
    <w:p>
      <w:bookmarkStart w:id="408" w:name="_Toc10807"/>
      <w:bookmarkStart w:id="409" w:name="_Toc310519884"/>
      <w:bookmarkStart w:id="410" w:name="_Toc4235"/>
      <w:bookmarkStart w:id="411" w:name="_Toc30421"/>
      <w:bookmarkStart w:id="412" w:name="_Toc31518"/>
      <w:bookmarkStart w:id="413" w:name="_Toc9189"/>
      <w:bookmarkStart w:id="414" w:name="_Toc19269"/>
      <w:bookmarkStart w:id="415" w:name="_Toc30477"/>
      <w:bookmarkStart w:id="416" w:name="_Toc6819"/>
      <w:bookmarkStart w:id="417" w:name="_Toc7183"/>
      <w:bookmarkStart w:id="418" w:name="_Toc259803667"/>
      <w:bookmarkStart w:id="419" w:name="_Toc325031940"/>
      <w:bookmarkStart w:id="420" w:name="_Toc525312048"/>
      <w:bookmarkStart w:id="421" w:name="_Toc419106561"/>
      <w:bookmarkStart w:id="422" w:name="_Toc29274"/>
      <w:bookmarkStart w:id="423" w:name="_Toc373767197"/>
      <w:bookmarkStart w:id="424" w:name="_Toc10789"/>
    </w:p>
    <w:p/>
    <w:p/>
    <w:p/>
    <w:p/>
    <w:p/>
    <w:p/>
    <w:p/>
    <w:p/>
    <w:p/>
    <w:p/>
    <w:p/>
    <w:p/>
    <w:p/>
    <w:p/>
    <w:p/>
    <w:p/>
    <w:p/>
    <w:p/>
    <w:p/>
    <w:p/>
    <w:p/>
    <w:p>
      <w:pPr>
        <w:spacing w:line="216" w:lineRule="auto"/>
        <w:jc w:val="center"/>
        <w:outlineLvl w:val="0"/>
        <w:rPr>
          <w:kern w:val="0"/>
          <w:sz w:val="52"/>
          <w:szCs w:val="20"/>
          <w:highlight w:val="none"/>
        </w:rPr>
      </w:pPr>
      <w:bookmarkStart w:id="425" w:name="_Toc21958"/>
      <w:r>
        <w:rPr>
          <w:rFonts w:hint="eastAsia"/>
          <w:kern w:val="0"/>
          <w:sz w:val="52"/>
          <w:szCs w:val="20"/>
          <w:highlight w:val="none"/>
        </w:rPr>
        <w:t>第四部分 合同书范本</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tabs>
          <w:tab w:val="left" w:pos="1440"/>
        </w:tabs>
        <w:spacing w:line="480" w:lineRule="auto"/>
        <w:rPr>
          <w:sz w:val="68"/>
        </w:rPr>
      </w:pPr>
    </w:p>
    <w:p>
      <w:pPr>
        <w:pStyle w:val="15"/>
        <w:rPr>
          <w:sz w:val="68"/>
        </w:rPr>
      </w:pPr>
    </w:p>
    <w:p>
      <w:pPr>
        <w:pStyle w:val="15"/>
        <w:rPr>
          <w:sz w:val="68"/>
        </w:rPr>
      </w:pPr>
    </w:p>
    <w:p>
      <w:pPr>
        <w:pStyle w:val="15"/>
        <w:rPr>
          <w:sz w:val="68"/>
        </w:rPr>
      </w:pPr>
    </w:p>
    <w:p>
      <w:pPr>
        <w:pStyle w:val="15"/>
        <w:rPr>
          <w:sz w:val="68"/>
        </w:rPr>
      </w:pPr>
    </w:p>
    <w:p>
      <w:pPr>
        <w:pStyle w:val="15"/>
        <w:rPr>
          <w:sz w:val="68"/>
        </w:rPr>
      </w:pPr>
    </w:p>
    <w:p>
      <w:pPr>
        <w:pStyle w:val="65"/>
        <w:tabs>
          <w:tab w:val="left" w:pos="1440"/>
        </w:tabs>
        <w:spacing w:line="480" w:lineRule="auto"/>
        <w:rPr>
          <w:rFonts w:ascii="宋体" w:hAnsi="宋体"/>
          <w:sz w:val="68"/>
        </w:rPr>
      </w:pPr>
      <w:bookmarkStart w:id="426" w:name="_Toc259803668"/>
      <w:bookmarkStart w:id="427" w:name="_Toc49329263"/>
      <w:bookmarkStart w:id="428" w:name="_Toc9659"/>
      <w:bookmarkStart w:id="429" w:name="_Toc525312049"/>
      <w:bookmarkStart w:id="430" w:name="_Toc373767198"/>
      <w:bookmarkStart w:id="431" w:name="_Toc29460"/>
      <w:bookmarkStart w:id="432" w:name="_Toc26775"/>
      <w:bookmarkStart w:id="433" w:name="_Toc5650"/>
      <w:bookmarkStart w:id="434" w:name="_Toc12025"/>
      <w:bookmarkStart w:id="435" w:name="_Toc325031941"/>
      <w:bookmarkStart w:id="436" w:name="_Toc419106562"/>
      <w:bookmarkStart w:id="437" w:name="_Toc28340"/>
      <w:bookmarkStart w:id="438" w:name="_Toc310519885"/>
      <w:bookmarkStart w:id="439" w:name="_Toc113157428"/>
    </w:p>
    <w:p>
      <w:pPr>
        <w:pStyle w:val="65"/>
        <w:tabs>
          <w:tab w:val="left" w:pos="1440"/>
        </w:tabs>
        <w:spacing w:line="480" w:lineRule="auto"/>
        <w:jc w:val="center"/>
        <w:rPr>
          <w:rFonts w:ascii="宋体" w:hAnsi="宋体"/>
          <w:sz w:val="68"/>
        </w:rPr>
      </w:pPr>
      <w:bookmarkStart w:id="440" w:name="_Toc394329403"/>
      <w:bookmarkStart w:id="441" w:name="_Toc459727899"/>
      <w:r>
        <w:rPr>
          <w:rFonts w:hint="eastAsia" w:ascii="宋体" w:hAnsi="宋体"/>
          <w:color w:val="000000"/>
          <w:sz w:val="68"/>
          <w:highlight w:val="white"/>
        </w:rPr>
        <w:t>佛山市政府采购项目</w:t>
      </w:r>
    </w:p>
    <w:p>
      <w:pPr>
        <w:pStyle w:val="65"/>
        <w:tabs>
          <w:tab w:val="left" w:pos="1440"/>
          <w:tab w:val="center" w:pos="4592"/>
          <w:tab w:val="left" w:pos="6748"/>
        </w:tabs>
        <w:spacing w:line="360" w:lineRule="auto"/>
        <w:jc w:val="center"/>
        <w:rPr>
          <w:rFonts w:hint="eastAsia" w:ascii="宋体" w:hAnsi="宋体"/>
          <w:sz w:val="68"/>
        </w:rPr>
      </w:pPr>
      <w:r>
        <w:rPr>
          <w:rFonts w:hint="eastAsia" w:ascii="宋体" w:hAnsi="宋体"/>
          <w:color w:val="000000"/>
          <w:sz w:val="68"/>
          <w:highlight w:val="white"/>
        </w:rPr>
        <w:t>合 同 书</w:t>
      </w:r>
    </w:p>
    <w:p>
      <w:pPr>
        <w:pStyle w:val="65"/>
        <w:spacing w:line="360" w:lineRule="auto"/>
        <w:jc w:val="center"/>
        <w:rPr>
          <w:rFonts w:hint="eastAsia" w:ascii="宋体" w:hAnsi="宋体" w:eastAsia="宋体" w:cs="宋体"/>
          <w:sz w:val="24"/>
          <w:szCs w:val="24"/>
        </w:rPr>
      </w:pPr>
      <w:r>
        <w:rPr>
          <w:rFonts w:hint="eastAsia" w:ascii="宋体" w:hAnsi="宋体" w:cs="宋体"/>
          <w:b/>
          <w:bCs/>
          <w:color w:val="000000"/>
          <w:sz w:val="24"/>
          <w:szCs w:val="24"/>
          <w:highlight w:val="white"/>
          <w:lang w:eastAsia="zh-CN"/>
        </w:rPr>
        <w:t>项目编号：fsganb202404005</w:t>
      </w:r>
    </w:p>
    <w:p>
      <w:pPr>
        <w:pStyle w:val="65"/>
        <w:spacing w:line="360" w:lineRule="auto"/>
        <w:jc w:val="center"/>
        <w:rPr>
          <w:rFonts w:hint="eastAsia" w:ascii="宋体" w:hAnsi="宋体" w:eastAsia="宋体" w:cs="宋体"/>
          <w:sz w:val="24"/>
          <w:szCs w:val="24"/>
        </w:rPr>
      </w:pPr>
      <w:r>
        <w:rPr>
          <w:rFonts w:hint="eastAsia" w:ascii="宋体" w:hAnsi="宋体" w:eastAsia="宋体" w:cs="宋体"/>
          <w:b/>
          <w:color w:val="000000"/>
          <w:sz w:val="24"/>
          <w:szCs w:val="24"/>
          <w:highlight w:val="white"/>
        </w:rPr>
        <w:t>项目名称：</w:t>
      </w:r>
      <w:r>
        <w:rPr>
          <w:rFonts w:hint="eastAsia" w:ascii="宋体" w:hAnsi="宋体" w:cs="宋体"/>
          <w:b/>
          <w:bCs/>
          <w:color w:val="000000"/>
          <w:sz w:val="24"/>
          <w:szCs w:val="24"/>
          <w:highlight w:val="white"/>
          <w:lang w:eastAsia="zh-CN"/>
        </w:rPr>
        <w:t>佛山市公安局铺设电缆</w:t>
      </w:r>
    </w:p>
    <w:p>
      <w:pPr>
        <w:pStyle w:val="65"/>
        <w:spacing w:line="360" w:lineRule="auto"/>
        <w:jc w:val="center"/>
      </w:pPr>
    </w:p>
    <w:p>
      <w:pPr>
        <w:pStyle w:val="65"/>
        <w:spacing w:line="360" w:lineRule="auto"/>
        <w:jc w:val="center"/>
      </w:pPr>
    </w:p>
    <w:p>
      <w:pPr>
        <w:pStyle w:val="65"/>
        <w:spacing w:line="360" w:lineRule="auto"/>
        <w:jc w:val="center"/>
      </w:pPr>
    </w:p>
    <w:p>
      <w:pPr>
        <w:pStyle w:val="65"/>
        <w:spacing w:line="360" w:lineRule="auto"/>
        <w:jc w:val="center"/>
      </w:pPr>
    </w:p>
    <w:p>
      <w:pPr>
        <w:pStyle w:val="65"/>
        <w:spacing w:line="360" w:lineRule="auto"/>
        <w:jc w:val="center"/>
      </w:pPr>
    </w:p>
    <w:p>
      <w:pPr>
        <w:pStyle w:val="65"/>
        <w:spacing w:line="360" w:lineRule="auto"/>
        <w:jc w:val="center"/>
      </w:pPr>
    </w:p>
    <w:p>
      <w:pPr>
        <w:pStyle w:val="65"/>
        <w:spacing w:line="360" w:lineRule="auto"/>
        <w:jc w:val="center"/>
      </w:pPr>
    </w:p>
    <w:p>
      <w:pPr>
        <w:pStyle w:val="65"/>
        <w:spacing w:line="360" w:lineRule="auto"/>
        <w:jc w:val="center"/>
      </w:pPr>
    </w:p>
    <w:p>
      <w:pPr>
        <w:pStyle w:val="65"/>
        <w:spacing w:line="360" w:lineRule="auto"/>
        <w:jc w:val="center"/>
      </w:pPr>
    </w:p>
    <w:p>
      <w:pPr>
        <w:pStyle w:val="65"/>
        <w:spacing w:line="360" w:lineRule="auto"/>
        <w:jc w:val="center"/>
      </w:pPr>
    </w:p>
    <w:p>
      <w:pPr>
        <w:pStyle w:val="65"/>
        <w:spacing w:line="360" w:lineRule="auto"/>
        <w:jc w:val="center"/>
      </w:pPr>
    </w:p>
    <w:p>
      <w:pPr>
        <w:pStyle w:val="65"/>
        <w:spacing w:line="360" w:lineRule="auto"/>
        <w:jc w:val="center"/>
      </w:pPr>
    </w:p>
    <w:p>
      <w:pPr>
        <w:pStyle w:val="65"/>
        <w:spacing w:line="360" w:lineRule="auto"/>
        <w:jc w:val="center"/>
      </w:pPr>
    </w:p>
    <w:tbl>
      <w:tblPr>
        <w:tblStyle w:val="24"/>
        <w:tblW w:w="0" w:type="auto"/>
        <w:jc w:val="center"/>
        <w:tblLayout w:type="fixed"/>
        <w:tblCellMar>
          <w:top w:w="0" w:type="dxa"/>
          <w:left w:w="108" w:type="dxa"/>
          <w:bottom w:w="0" w:type="dxa"/>
          <w:right w:w="108" w:type="dxa"/>
        </w:tblCellMar>
      </w:tblPr>
      <w:tblGrid>
        <w:gridCol w:w="2600"/>
        <w:gridCol w:w="4995"/>
      </w:tblGrid>
      <w:tr>
        <w:tblPrEx>
          <w:tblCellMar>
            <w:top w:w="0" w:type="dxa"/>
            <w:left w:w="108" w:type="dxa"/>
            <w:bottom w:w="0" w:type="dxa"/>
            <w:right w:w="108" w:type="dxa"/>
          </w:tblCellMar>
        </w:tblPrEx>
        <w:trPr>
          <w:trHeight w:val="593" w:hRule="atLeast"/>
          <w:jc w:val="center"/>
        </w:trPr>
        <w:tc>
          <w:tcPr>
            <w:tcW w:w="2600" w:type="dxa"/>
            <w:noWrap w:val="0"/>
            <w:vAlign w:val="center"/>
          </w:tcPr>
          <w:p>
            <w:pPr>
              <w:pStyle w:val="65"/>
              <w:jc w:val="center"/>
              <w:rPr>
                <w:rFonts w:ascii="黑体" w:eastAsia="黑体"/>
                <w:sz w:val="28"/>
                <w:szCs w:val="28"/>
              </w:rPr>
            </w:pPr>
            <w:r>
              <w:rPr>
                <w:rFonts w:hint="eastAsia" w:ascii="黑体" w:eastAsia="黑体"/>
                <w:color w:val="000000"/>
                <w:sz w:val="28"/>
                <w:szCs w:val="28"/>
                <w:highlight w:val="white"/>
                <w:lang w:eastAsia="zh-CN"/>
              </w:rPr>
              <w:t>发</w:t>
            </w:r>
            <w:r>
              <w:rPr>
                <w:rFonts w:hint="eastAsia" w:ascii="黑体" w:eastAsia="黑体"/>
                <w:color w:val="000000"/>
                <w:sz w:val="28"/>
                <w:szCs w:val="28"/>
                <w:highlight w:val="white"/>
                <w:lang w:val="en-US" w:eastAsia="zh-CN"/>
              </w:rPr>
              <w:t xml:space="preserve"> </w:t>
            </w:r>
            <w:r>
              <w:rPr>
                <w:rFonts w:hint="eastAsia" w:ascii="黑体" w:eastAsia="黑体"/>
                <w:color w:val="000000"/>
                <w:sz w:val="28"/>
                <w:szCs w:val="28"/>
                <w:highlight w:val="white"/>
                <w:lang w:eastAsia="zh-CN"/>
              </w:rPr>
              <w:t>包</w:t>
            </w:r>
            <w:r>
              <w:rPr>
                <w:rFonts w:hint="eastAsia" w:ascii="黑体" w:eastAsia="黑体"/>
                <w:color w:val="000000"/>
                <w:sz w:val="28"/>
                <w:szCs w:val="28"/>
                <w:highlight w:val="white"/>
                <w:lang w:val="en-US" w:eastAsia="zh-CN"/>
              </w:rPr>
              <w:t xml:space="preserve"> </w:t>
            </w:r>
            <w:r>
              <w:rPr>
                <w:rFonts w:hint="eastAsia" w:ascii="黑体" w:eastAsia="黑体"/>
                <w:color w:val="000000"/>
                <w:sz w:val="28"/>
                <w:szCs w:val="28"/>
                <w:highlight w:val="white"/>
                <w:lang w:eastAsia="zh-CN"/>
              </w:rPr>
              <w:t>人</w:t>
            </w:r>
            <w:r>
              <w:rPr>
                <w:rFonts w:hint="eastAsia" w:ascii="黑体" w:eastAsia="黑体"/>
                <w:color w:val="000000"/>
                <w:sz w:val="28"/>
                <w:szCs w:val="28"/>
                <w:highlight w:val="white"/>
              </w:rPr>
              <w:t>：</w:t>
            </w:r>
          </w:p>
        </w:tc>
        <w:tc>
          <w:tcPr>
            <w:tcW w:w="4995" w:type="dxa"/>
            <w:noWrap w:val="0"/>
            <w:vAlign w:val="center"/>
          </w:tcPr>
          <w:p>
            <w:pPr>
              <w:pStyle w:val="65"/>
              <w:jc w:val="left"/>
              <w:rPr>
                <w:rFonts w:ascii="黑体" w:eastAsia="黑体"/>
                <w:sz w:val="28"/>
                <w:szCs w:val="28"/>
                <w:u w:val="single"/>
              </w:rPr>
            </w:pPr>
            <w:bookmarkStart w:id="442" w:name="EBab8624952e174488a7c0cf9d68a9a018"/>
            <w:r>
              <w:rPr>
                <w:rFonts w:hint="eastAsia" w:ascii="黑体" w:eastAsia="黑体"/>
                <w:color w:val="000000"/>
                <w:sz w:val="28"/>
                <w:szCs w:val="28"/>
                <w:highlight w:val="white"/>
                <w:u w:val="single"/>
              </w:rPr>
              <w:t xml:space="preserve"> </w:t>
            </w:r>
            <w:bookmarkEnd w:id="442"/>
            <w:r>
              <w:rPr>
                <w:rFonts w:hint="eastAsia" w:ascii="黑体" w:eastAsia="黑体"/>
                <w:color w:val="000000"/>
                <w:sz w:val="28"/>
                <w:szCs w:val="28"/>
                <w:highlight w:val="white"/>
                <w:u w:val="single"/>
                <w:lang w:eastAsia="zh-CN"/>
              </w:rPr>
              <w:t>佛山市公安局</w:t>
            </w:r>
            <w:r>
              <w:rPr>
                <w:rFonts w:hint="eastAsia" w:ascii="黑体" w:eastAsia="黑体"/>
                <w:color w:val="000000"/>
                <w:sz w:val="28"/>
                <w:szCs w:val="28"/>
                <w:highlight w:val="white"/>
                <w:u w:val="single"/>
              </w:rPr>
              <w:t xml:space="preserve"> </w:t>
            </w:r>
          </w:p>
        </w:tc>
      </w:tr>
      <w:tr>
        <w:tblPrEx>
          <w:tblCellMar>
            <w:top w:w="0" w:type="dxa"/>
            <w:left w:w="108" w:type="dxa"/>
            <w:bottom w:w="0" w:type="dxa"/>
            <w:right w:w="108" w:type="dxa"/>
          </w:tblCellMar>
        </w:tblPrEx>
        <w:trPr>
          <w:trHeight w:val="593" w:hRule="atLeast"/>
          <w:jc w:val="center"/>
        </w:trPr>
        <w:tc>
          <w:tcPr>
            <w:tcW w:w="2600" w:type="dxa"/>
            <w:noWrap w:val="0"/>
            <w:vAlign w:val="center"/>
          </w:tcPr>
          <w:p>
            <w:pPr>
              <w:pStyle w:val="65"/>
              <w:jc w:val="center"/>
              <w:rPr>
                <w:rFonts w:ascii="黑体" w:eastAsia="黑体"/>
                <w:sz w:val="28"/>
                <w:szCs w:val="28"/>
              </w:rPr>
            </w:pPr>
            <w:r>
              <w:rPr>
                <w:rFonts w:hint="eastAsia" w:ascii="黑体" w:eastAsia="黑体"/>
                <w:color w:val="000000"/>
                <w:sz w:val="28"/>
                <w:szCs w:val="28"/>
                <w:highlight w:val="white"/>
                <w:lang w:eastAsia="zh-CN"/>
              </w:rPr>
              <w:t>承</w:t>
            </w:r>
            <w:r>
              <w:rPr>
                <w:rFonts w:hint="eastAsia" w:ascii="黑体" w:eastAsia="黑体"/>
                <w:color w:val="000000"/>
                <w:sz w:val="28"/>
                <w:szCs w:val="28"/>
                <w:highlight w:val="white"/>
                <w:lang w:val="en-US" w:eastAsia="zh-CN"/>
              </w:rPr>
              <w:t xml:space="preserve"> </w:t>
            </w:r>
            <w:r>
              <w:rPr>
                <w:rFonts w:hint="eastAsia" w:ascii="黑体" w:eastAsia="黑体"/>
                <w:color w:val="000000"/>
                <w:sz w:val="28"/>
                <w:szCs w:val="28"/>
                <w:highlight w:val="white"/>
                <w:lang w:eastAsia="zh-CN"/>
              </w:rPr>
              <w:t>包</w:t>
            </w:r>
            <w:r>
              <w:rPr>
                <w:rFonts w:hint="eastAsia" w:ascii="黑体" w:eastAsia="黑体"/>
                <w:color w:val="000000"/>
                <w:sz w:val="28"/>
                <w:szCs w:val="28"/>
                <w:highlight w:val="white"/>
                <w:lang w:val="en-US" w:eastAsia="zh-CN"/>
              </w:rPr>
              <w:t xml:space="preserve"> </w:t>
            </w:r>
            <w:r>
              <w:rPr>
                <w:rFonts w:hint="eastAsia" w:ascii="黑体" w:eastAsia="黑体"/>
                <w:color w:val="000000"/>
                <w:sz w:val="28"/>
                <w:szCs w:val="28"/>
                <w:highlight w:val="white"/>
                <w:lang w:eastAsia="zh-CN"/>
              </w:rPr>
              <w:t>人</w:t>
            </w:r>
            <w:r>
              <w:rPr>
                <w:rFonts w:hint="eastAsia" w:ascii="黑体" w:hAnsi="宋体" w:eastAsia="黑体"/>
                <w:color w:val="000000"/>
                <w:sz w:val="28"/>
                <w:szCs w:val="28"/>
                <w:highlight w:val="white"/>
              </w:rPr>
              <w:t>：</w:t>
            </w:r>
          </w:p>
        </w:tc>
        <w:tc>
          <w:tcPr>
            <w:tcW w:w="4995" w:type="dxa"/>
            <w:noWrap w:val="0"/>
            <w:vAlign w:val="center"/>
          </w:tcPr>
          <w:p>
            <w:pPr>
              <w:pStyle w:val="65"/>
              <w:jc w:val="left"/>
              <w:rPr>
                <w:rFonts w:ascii="黑体" w:eastAsia="黑体"/>
                <w:sz w:val="28"/>
                <w:szCs w:val="28"/>
                <w:u w:val="single"/>
              </w:rPr>
            </w:pPr>
            <w:r>
              <w:rPr>
                <w:rFonts w:hint="eastAsia" w:ascii="黑体" w:eastAsia="黑体"/>
                <w:color w:val="000000"/>
                <w:sz w:val="28"/>
                <w:szCs w:val="28"/>
                <w:highlight w:val="white"/>
                <w:u w:val="single"/>
              </w:rPr>
              <w:t xml:space="preserve">     （成交供应商）      </w:t>
            </w:r>
          </w:p>
        </w:tc>
      </w:tr>
      <w:tr>
        <w:tblPrEx>
          <w:tblCellMar>
            <w:top w:w="0" w:type="dxa"/>
            <w:left w:w="108" w:type="dxa"/>
            <w:bottom w:w="0" w:type="dxa"/>
            <w:right w:w="108" w:type="dxa"/>
          </w:tblCellMar>
        </w:tblPrEx>
        <w:trPr>
          <w:trHeight w:val="593" w:hRule="atLeast"/>
          <w:jc w:val="center"/>
        </w:trPr>
        <w:tc>
          <w:tcPr>
            <w:tcW w:w="2600" w:type="dxa"/>
            <w:noWrap w:val="0"/>
            <w:vAlign w:val="center"/>
          </w:tcPr>
          <w:p>
            <w:pPr>
              <w:pStyle w:val="65"/>
              <w:jc w:val="center"/>
              <w:rPr>
                <w:rFonts w:ascii="黑体" w:eastAsia="黑体"/>
                <w:sz w:val="28"/>
                <w:szCs w:val="28"/>
              </w:rPr>
            </w:pPr>
            <w:r>
              <w:rPr>
                <w:rFonts w:hint="eastAsia" w:ascii="黑体" w:hAnsi="宋体" w:eastAsia="黑体"/>
                <w:color w:val="000000"/>
                <w:sz w:val="28"/>
                <w:szCs w:val="28"/>
                <w:highlight w:val="white"/>
              </w:rPr>
              <w:t>签订日期：</w:t>
            </w:r>
          </w:p>
        </w:tc>
        <w:tc>
          <w:tcPr>
            <w:tcW w:w="4995" w:type="dxa"/>
            <w:noWrap w:val="0"/>
            <w:vAlign w:val="center"/>
          </w:tcPr>
          <w:p>
            <w:pPr>
              <w:pStyle w:val="65"/>
              <w:jc w:val="left"/>
              <w:rPr>
                <w:rFonts w:ascii="黑体" w:eastAsia="黑体"/>
                <w:sz w:val="28"/>
                <w:szCs w:val="28"/>
                <w:u w:val="single"/>
              </w:rPr>
            </w:pPr>
            <w:r>
              <w:rPr>
                <w:rFonts w:hint="eastAsia" w:ascii="黑体" w:eastAsia="黑体"/>
                <w:color w:val="000000"/>
                <w:sz w:val="28"/>
                <w:szCs w:val="28"/>
                <w:highlight w:val="white"/>
                <w:u w:val="single"/>
              </w:rPr>
              <w:t xml:space="preserve">       </w:t>
            </w:r>
            <w:r>
              <w:rPr>
                <w:rFonts w:hint="eastAsia" w:ascii="黑体" w:hAnsi="宋体" w:eastAsia="黑体"/>
                <w:color w:val="000000"/>
                <w:sz w:val="28"/>
                <w:szCs w:val="28"/>
                <w:highlight w:val="white"/>
                <w:u w:val="single"/>
              </w:rPr>
              <w:t>年</w:t>
            </w:r>
            <w:r>
              <w:rPr>
                <w:rFonts w:hint="eastAsia" w:ascii="黑体" w:eastAsia="黑体"/>
                <w:color w:val="000000"/>
                <w:sz w:val="28"/>
                <w:szCs w:val="28"/>
                <w:highlight w:val="white"/>
                <w:u w:val="single"/>
              </w:rPr>
              <w:t xml:space="preserve">  </w:t>
            </w:r>
            <w:r>
              <w:rPr>
                <w:rFonts w:hint="eastAsia" w:ascii="黑体" w:hAnsi="宋体" w:eastAsia="黑体"/>
                <w:color w:val="000000"/>
                <w:sz w:val="28"/>
                <w:szCs w:val="28"/>
                <w:highlight w:val="white"/>
                <w:u w:val="single"/>
              </w:rPr>
              <w:t>月</w:t>
            </w:r>
            <w:r>
              <w:rPr>
                <w:rFonts w:hint="eastAsia" w:ascii="黑体" w:eastAsia="黑体"/>
                <w:color w:val="000000"/>
                <w:sz w:val="28"/>
                <w:szCs w:val="28"/>
                <w:highlight w:val="white"/>
                <w:u w:val="single"/>
              </w:rPr>
              <w:t xml:space="preserve">   </w:t>
            </w:r>
            <w:r>
              <w:rPr>
                <w:rFonts w:hint="eastAsia" w:ascii="黑体" w:hAnsi="宋体" w:eastAsia="黑体"/>
                <w:color w:val="000000"/>
                <w:sz w:val="28"/>
                <w:szCs w:val="28"/>
                <w:highlight w:val="white"/>
                <w:u w:val="single"/>
              </w:rPr>
              <w:t xml:space="preserve">日       </w:t>
            </w:r>
          </w:p>
        </w:tc>
      </w:tr>
    </w:tbl>
    <w:p>
      <w:pPr>
        <w:pStyle w:val="65"/>
        <w:pageBreakBefore/>
        <w:spacing w:line="360" w:lineRule="auto"/>
        <w:jc w:val="center"/>
        <w:rPr>
          <w:b/>
          <w:kern w:val="0"/>
          <w:sz w:val="44"/>
          <w:szCs w:val="44"/>
        </w:rPr>
      </w:pPr>
      <w:r>
        <w:rPr>
          <w:rFonts w:hint="eastAsia"/>
          <w:b/>
          <w:color w:val="000000"/>
          <w:kern w:val="0"/>
          <w:sz w:val="44"/>
          <w:szCs w:val="44"/>
          <w:highlight w:val="white"/>
        </w:rPr>
        <w:t>佛山市政府采购项目合同书</w:t>
      </w:r>
    </w:p>
    <w:p>
      <w:pPr>
        <w:pStyle w:val="65"/>
        <w:rPr>
          <w:szCs w:val="22"/>
        </w:rPr>
      </w:pPr>
    </w:p>
    <w:tbl>
      <w:tblPr>
        <w:tblStyle w:val="24"/>
        <w:tblW w:w="0" w:type="auto"/>
        <w:tblInd w:w="0" w:type="dxa"/>
        <w:tblLayout w:type="fixed"/>
        <w:tblCellMar>
          <w:top w:w="0" w:type="dxa"/>
          <w:left w:w="108" w:type="dxa"/>
          <w:bottom w:w="0" w:type="dxa"/>
          <w:right w:w="108" w:type="dxa"/>
        </w:tblCellMar>
      </w:tblPr>
      <w:tblGrid>
        <w:gridCol w:w="2092"/>
        <w:gridCol w:w="6488"/>
      </w:tblGrid>
      <w:tr>
        <w:tblPrEx>
          <w:tblCellMar>
            <w:top w:w="0" w:type="dxa"/>
            <w:left w:w="108" w:type="dxa"/>
            <w:bottom w:w="0" w:type="dxa"/>
            <w:right w:w="108" w:type="dxa"/>
          </w:tblCellMar>
        </w:tblPrEx>
        <w:trPr>
          <w:trHeight w:val="567" w:hRule="atLeast"/>
        </w:trPr>
        <w:tc>
          <w:tcPr>
            <w:tcW w:w="2092" w:type="dxa"/>
            <w:noWrap w:val="0"/>
            <w:vAlign w:val="center"/>
          </w:tcPr>
          <w:p>
            <w:pPr>
              <w:pStyle w:val="65"/>
              <w:rPr>
                <w:b/>
                <w:szCs w:val="22"/>
              </w:rPr>
            </w:pPr>
            <w:r>
              <w:rPr>
                <w:rFonts w:hint="eastAsia"/>
                <w:b/>
                <w:color w:val="000000"/>
                <w:sz w:val="24"/>
                <w:highlight w:val="white"/>
              </w:rPr>
              <w:t>项目名称</w:t>
            </w:r>
            <w:r>
              <w:rPr>
                <w:rFonts w:hint="eastAsia"/>
                <w:b/>
                <w:color w:val="000000"/>
                <w:highlight w:val="white"/>
              </w:rPr>
              <w:t>：</w:t>
            </w:r>
          </w:p>
        </w:tc>
        <w:tc>
          <w:tcPr>
            <w:tcW w:w="6488" w:type="dxa"/>
            <w:noWrap w:val="0"/>
            <w:vAlign w:val="center"/>
          </w:tcPr>
          <w:p>
            <w:pPr>
              <w:pStyle w:val="65"/>
              <w:jc w:val="left"/>
              <w:rPr>
                <w:rFonts w:hint="eastAsia"/>
                <w:b/>
                <w:sz w:val="24"/>
                <w:u w:val="single"/>
              </w:rPr>
            </w:pPr>
            <w:r>
              <w:rPr>
                <w:rFonts w:hint="eastAsia"/>
                <w:b/>
                <w:color w:val="000000"/>
                <w:sz w:val="24"/>
                <w:highlight w:val="white"/>
                <w:u w:val="single"/>
              </w:rPr>
              <w:t xml:space="preserve"> </w:t>
            </w:r>
            <w:r>
              <w:rPr>
                <w:rFonts w:hint="eastAsia"/>
                <w:b/>
                <w:color w:val="000000"/>
                <w:sz w:val="24"/>
                <w:highlight w:val="white"/>
                <w:u w:val="single"/>
                <w:lang w:eastAsia="zh-CN"/>
              </w:rPr>
              <w:t>佛山市公安局铺设电缆</w:t>
            </w:r>
            <w:r>
              <w:rPr>
                <w:rFonts w:hint="eastAsia"/>
                <w:b/>
                <w:color w:val="000000"/>
                <w:sz w:val="24"/>
                <w:highlight w:val="white"/>
                <w:u w:val="single"/>
              </w:rPr>
              <w:t xml:space="preserve"> </w:t>
            </w:r>
          </w:p>
        </w:tc>
      </w:tr>
      <w:tr>
        <w:tblPrEx>
          <w:tblCellMar>
            <w:top w:w="0" w:type="dxa"/>
            <w:left w:w="108" w:type="dxa"/>
            <w:bottom w:w="0" w:type="dxa"/>
            <w:right w:w="108" w:type="dxa"/>
          </w:tblCellMar>
        </w:tblPrEx>
        <w:trPr>
          <w:trHeight w:val="413" w:hRule="atLeast"/>
        </w:trPr>
        <w:tc>
          <w:tcPr>
            <w:tcW w:w="2092" w:type="dxa"/>
            <w:noWrap w:val="0"/>
            <w:vAlign w:val="center"/>
          </w:tcPr>
          <w:p>
            <w:pPr>
              <w:pStyle w:val="65"/>
              <w:rPr>
                <w:rFonts w:hint="eastAsia" w:eastAsia="宋体"/>
                <w:b/>
                <w:sz w:val="24"/>
                <w:lang w:eastAsia="zh-CN"/>
              </w:rPr>
            </w:pPr>
            <w:r>
              <w:rPr>
                <w:rFonts w:hint="eastAsia"/>
                <w:b/>
                <w:color w:val="000000"/>
                <w:sz w:val="24"/>
                <w:highlight w:val="white"/>
                <w:lang w:eastAsia="zh-CN"/>
              </w:rPr>
              <w:t>项目编号：</w:t>
            </w:r>
          </w:p>
        </w:tc>
        <w:tc>
          <w:tcPr>
            <w:tcW w:w="6488" w:type="dxa"/>
            <w:noWrap w:val="0"/>
            <w:vAlign w:val="center"/>
          </w:tcPr>
          <w:p>
            <w:pPr>
              <w:pStyle w:val="65"/>
              <w:rPr>
                <w:b/>
                <w:sz w:val="24"/>
                <w:u w:val="single"/>
              </w:rPr>
            </w:pPr>
            <w:r>
              <w:rPr>
                <w:rFonts w:hint="eastAsia"/>
                <w:b/>
                <w:color w:val="000000"/>
                <w:sz w:val="24"/>
                <w:highlight w:val="white"/>
                <w:u w:val="single"/>
              </w:rPr>
              <w:t xml:space="preserve"> </w:t>
            </w:r>
            <w:r>
              <w:rPr>
                <w:rFonts w:hint="eastAsia"/>
                <w:b/>
                <w:color w:val="000000"/>
                <w:sz w:val="24"/>
                <w:highlight w:val="white"/>
                <w:u w:val="single"/>
                <w:lang w:val="en-US" w:eastAsia="zh-CN"/>
              </w:rPr>
              <w:t>fsganb202404005</w:t>
            </w:r>
            <w:r>
              <w:rPr>
                <w:rFonts w:hint="eastAsia"/>
                <w:b/>
                <w:color w:val="000000"/>
                <w:sz w:val="24"/>
                <w:highlight w:val="white"/>
                <w:u w:val="single"/>
              </w:rPr>
              <w:t xml:space="preserve"> </w:t>
            </w:r>
          </w:p>
        </w:tc>
      </w:tr>
      <w:tr>
        <w:tblPrEx>
          <w:tblCellMar>
            <w:top w:w="0" w:type="dxa"/>
            <w:left w:w="108" w:type="dxa"/>
            <w:bottom w:w="0" w:type="dxa"/>
            <w:right w:w="108" w:type="dxa"/>
          </w:tblCellMar>
        </w:tblPrEx>
        <w:trPr>
          <w:trHeight w:val="413" w:hRule="atLeast"/>
        </w:trPr>
        <w:tc>
          <w:tcPr>
            <w:tcW w:w="2092" w:type="dxa"/>
            <w:noWrap w:val="0"/>
            <w:vAlign w:val="center"/>
          </w:tcPr>
          <w:p>
            <w:pPr>
              <w:pStyle w:val="65"/>
              <w:rPr>
                <w:b/>
                <w:sz w:val="24"/>
              </w:rPr>
            </w:pPr>
            <w:r>
              <w:rPr>
                <w:rFonts w:hint="eastAsia"/>
                <w:b/>
                <w:color w:val="000000"/>
                <w:sz w:val="24"/>
                <w:highlight w:val="white"/>
                <w:lang w:eastAsia="zh-CN"/>
              </w:rPr>
              <w:t>发</w:t>
            </w:r>
            <w:r>
              <w:rPr>
                <w:rFonts w:hint="eastAsia"/>
                <w:b/>
                <w:color w:val="000000"/>
                <w:sz w:val="24"/>
                <w:highlight w:val="white"/>
                <w:lang w:val="en-US" w:eastAsia="zh-CN"/>
              </w:rPr>
              <w:t xml:space="preserve"> </w:t>
            </w:r>
            <w:r>
              <w:rPr>
                <w:rFonts w:hint="eastAsia"/>
                <w:b/>
                <w:color w:val="000000"/>
                <w:sz w:val="24"/>
                <w:highlight w:val="white"/>
                <w:lang w:eastAsia="zh-CN"/>
              </w:rPr>
              <w:t>包</w:t>
            </w:r>
            <w:r>
              <w:rPr>
                <w:rFonts w:hint="eastAsia"/>
                <w:b/>
                <w:color w:val="000000"/>
                <w:sz w:val="24"/>
                <w:highlight w:val="white"/>
                <w:lang w:val="en-US" w:eastAsia="zh-CN"/>
              </w:rPr>
              <w:t xml:space="preserve"> </w:t>
            </w:r>
            <w:r>
              <w:rPr>
                <w:rFonts w:hint="eastAsia"/>
                <w:b/>
                <w:color w:val="000000"/>
                <w:sz w:val="24"/>
                <w:highlight w:val="white"/>
                <w:lang w:eastAsia="zh-CN"/>
              </w:rPr>
              <w:t>人</w:t>
            </w:r>
            <w:r>
              <w:rPr>
                <w:rFonts w:hint="eastAsia"/>
                <w:b/>
                <w:color w:val="000000"/>
                <w:sz w:val="24"/>
                <w:highlight w:val="white"/>
              </w:rPr>
              <w:t>：</w:t>
            </w:r>
          </w:p>
        </w:tc>
        <w:tc>
          <w:tcPr>
            <w:tcW w:w="6488" w:type="dxa"/>
            <w:noWrap w:val="0"/>
            <w:vAlign w:val="center"/>
          </w:tcPr>
          <w:p>
            <w:pPr>
              <w:pStyle w:val="65"/>
              <w:rPr>
                <w:b/>
                <w:sz w:val="24"/>
                <w:u w:val="single"/>
              </w:rPr>
            </w:pPr>
            <w:r>
              <w:rPr>
                <w:rFonts w:hint="eastAsia"/>
                <w:b/>
                <w:color w:val="000000"/>
                <w:sz w:val="24"/>
                <w:highlight w:val="white"/>
                <w:u w:val="single"/>
              </w:rPr>
              <w:t xml:space="preserve">  </w:t>
            </w:r>
            <w:r>
              <w:rPr>
                <w:rFonts w:hint="eastAsia"/>
                <w:b/>
                <w:color w:val="000000"/>
                <w:sz w:val="24"/>
                <w:highlight w:val="white"/>
                <w:u w:val="single"/>
                <w:lang w:eastAsia="zh-CN"/>
              </w:rPr>
              <w:t>佛山市公安局</w:t>
            </w:r>
            <w:r>
              <w:rPr>
                <w:rFonts w:hint="eastAsia"/>
                <w:b/>
                <w:color w:val="000000"/>
                <w:sz w:val="24"/>
                <w:highlight w:val="white"/>
                <w:u w:val="single"/>
              </w:rPr>
              <w:t xml:space="preserve">  </w:t>
            </w:r>
            <w:r>
              <w:rPr>
                <w:rFonts w:hint="eastAsia"/>
                <w:b/>
                <w:color w:val="000000"/>
                <w:sz w:val="24"/>
                <w:highlight w:val="white"/>
              </w:rPr>
              <w:t xml:space="preserve"> </w:t>
            </w:r>
          </w:p>
        </w:tc>
      </w:tr>
      <w:tr>
        <w:tblPrEx>
          <w:tblCellMar>
            <w:top w:w="0" w:type="dxa"/>
            <w:left w:w="108" w:type="dxa"/>
            <w:bottom w:w="0" w:type="dxa"/>
            <w:right w:w="108" w:type="dxa"/>
          </w:tblCellMar>
        </w:tblPrEx>
        <w:trPr>
          <w:trHeight w:val="413" w:hRule="atLeast"/>
        </w:trPr>
        <w:tc>
          <w:tcPr>
            <w:tcW w:w="2092" w:type="dxa"/>
            <w:noWrap w:val="0"/>
            <w:vAlign w:val="center"/>
          </w:tcPr>
          <w:p>
            <w:pPr>
              <w:pStyle w:val="65"/>
              <w:rPr>
                <w:b/>
                <w:sz w:val="24"/>
              </w:rPr>
            </w:pPr>
            <w:r>
              <w:rPr>
                <w:rFonts w:hint="eastAsia"/>
                <w:b/>
                <w:color w:val="000000"/>
                <w:sz w:val="24"/>
                <w:highlight w:val="white"/>
                <w:lang w:eastAsia="zh-CN"/>
              </w:rPr>
              <w:t>承</w:t>
            </w:r>
            <w:r>
              <w:rPr>
                <w:rFonts w:hint="eastAsia"/>
                <w:b/>
                <w:color w:val="000000"/>
                <w:sz w:val="24"/>
                <w:highlight w:val="white"/>
                <w:lang w:val="en-US" w:eastAsia="zh-CN"/>
              </w:rPr>
              <w:t xml:space="preserve"> </w:t>
            </w:r>
            <w:r>
              <w:rPr>
                <w:rFonts w:hint="eastAsia"/>
                <w:b/>
                <w:color w:val="000000"/>
                <w:sz w:val="24"/>
                <w:highlight w:val="white"/>
                <w:lang w:eastAsia="zh-CN"/>
              </w:rPr>
              <w:t>包</w:t>
            </w:r>
            <w:r>
              <w:rPr>
                <w:rFonts w:hint="eastAsia"/>
                <w:b/>
                <w:color w:val="000000"/>
                <w:sz w:val="24"/>
                <w:highlight w:val="white"/>
                <w:lang w:val="en-US" w:eastAsia="zh-CN"/>
              </w:rPr>
              <w:t xml:space="preserve"> </w:t>
            </w:r>
            <w:r>
              <w:rPr>
                <w:rFonts w:hint="eastAsia"/>
                <w:b/>
                <w:color w:val="000000"/>
                <w:sz w:val="24"/>
                <w:highlight w:val="white"/>
                <w:lang w:eastAsia="zh-CN"/>
              </w:rPr>
              <w:t>人</w:t>
            </w:r>
            <w:r>
              <w:rPr>
                <w:rFonts w:hint="eastAsia" w:ascii="宋体" w:hAnsi="宋体"/>
                <w:b/>
                <w:color w:val="000000"/>
                <w:sz w:val="24"/>
                <w:highlight w:val="white"/>
              </w:rPr>
              <w:t>：</w:t>
            </w:r>
          </w:p>
        </w:tc>
        <w:tc>
          <w:tcPr>
            <w:tcW w:w="6488" w:type="dxa"/>
            <w:noWrap w:val="0"/>
            <w:vAlign w:val="center"/>
          </w:tcPr>
          <w:p>
            <w:pPr>
              <w:pStyle w:val="65"/>
              <w:rPr>
                <w:b/>
                <w:sz w:val="24"/>
                <w:u w:val="single"/>
              </w:rPr>
            </w:pPr>
            <w:r>
              <w:rPr>
                <w:rFonts w:hint="eastAsia" w:ascii="宋体" w:hAnsi="宋体"/>
                <w:b/>
                <w:color w:val="000000"/>
                <w:sz w:val="24"/>
                <w:highlight w:val="white"/>
                <w:u w:val="single"/>
              </w:rPr>
              <w:t xml:space="preserve">（成交供应商）                                       </w:t>
            </w:r>
          </w:p>
        </w:tc>
      </w:tr>
      <w:tr>
        <w:tblPrEx>
          <w:tblCellMar>
            <w:top w:w="0" w:type="dxa"/>
            <w:left w:w="108" w:type="dxa"/>
            <w:bottom w:w="0" w:type="dxa"/>
            <w:right w:w="108" w:type="dxa"/>
          </w:tblCellMar>
        </w:tblPrEx>
        <w:trPr>
          <w:trHeight w:val="413" w:hRule="atLeast"/>
        </w:trPr>
        <w:tc>
          <w:tcPr>
            <w:tcW w:w="2092" w:type="dxa"/>
            <w:noWrap w:val="0"/>
            <w:vAlign w:val="center"/>
          </w:tcPr>
          <w:p>
            <w:pPr>
              <w:pStyle w:val="65"/>
              <w:rPr>
                <w:b/>
                <w:szCs w:val="22"/>
              </w:rPr>
            </w:pPr>
          </w:p>
        </w:tc>
        <w:tc>
          <w:tcPr>
            <w:tcW w:w="6488" w:type="dxa"/>
            <w:noWrap w:val="0"/>
            <w:vAlign w:val="center"/>
          </w:tcPr>
          <w:p>
            <w:pPr>
              <w:pStyle w:val="65"/>
              <w:rPr>
                <w:b/>
                <w:szCs w:val="22"/>
              </w:rPr>
            </w:pPr>
          </w:p>
        </w:tc>
      </w:tr>
    </w:tbl>
    <w:p>
      <w:pPr>
        <w:spacing w:line="360" w:lineRule="auto"/>
        <w:ind w:firstLine="420" w:firstLineChars="200"/>
        <w:rPr>
          <w:rFonts w:hint="eastAsia" w:ascii="宋体" w:hAnsi="宋体" w:cs="宋体"/>
          <w:color w:val="000000"/>
          <w:szCs w:val="21"/>
          <w:highlight w:val="white"/>
        </w:rPr>
      </w:pPr>
    </w:p>
    <w:p>
      <w:pPr>
        <w:spacing w:line="360" w:lineRule="auto"/>
        <w:ind w:firstLine="420" w:firstLineChars="200"/>
        <w:rPr>
          <w:rFonts w:hint="eastAsia" w:ascii="宋体" w:hAnsi="宋体" w:cs="宋体"/>
          <w:color w:val="000000"/>
          <w:kern w:val="28"/>
          <w:szCs w:val="21"/>
          <w:highlight w:val="white"/>
        </w:rPr>
      </w:pPr>
      <w:r>
        <w:rPr>
          <w:rFonts w:hint="eastAsia" w:ascii="宋体" w:hAnsi="宋体" w:cs="宋体"/>
          <w:color w:val="000000"/>
          <w:szCs w:val="21"/>
          <w:highlight w:val="white"/>
        </w:rPr>
        <w:t>根据《中华人民共和国政府采购法》、《中华人民共和国民法典》、本项目采购文件的要求，</w:t>
      </w:r>
      <w:r>
        <w:rPr>
          <w:rFonts w:hint="eastAsia" w:ascii="宋体" w:hAnsi="宋体" w:cs="宋体"/>
          <w:color w:val="000000"/>
          <w:kern w:val="28"/>
          <w:szCs w:val="21"/>
          <w:highlight w:val="white"/>
        </w:rPr>
        <w:t>经双方协商，</w:t>
      </w:r>
      <w:r>
        <w:rPr>
          <w:rFonts w:hint="eastAsia" w:ascii="宋体" w:hAnsi="宋体" w:cs="宋体"/>
          <w:color w:val="000000"/>
          <w:szCs w:val="21"/>
          <w:highlight w:val="white"/>
        </w:rPr>
        <w:t>本着平等互利和诚实信用的原则，</w:t>
      </w:r>
      <w:r>
        <w:rPr>
          <w:rFonts w:hint="eastAsia" w:ascii="宋体" w:hAnsi="宋体" w:cs="宋体"/>
          <w:color w:val="000000"/>
          <w:kern w:val="28"/>
          <w:szCs w:val="21"/>
          <w:highlight w:val="white"/>
        </w:rPr>
        <w:t>一致同意签订本合同如下。</w:t>
      </w:r>
    </w:p>
    <w:p>
      <w:pPr>
        <w:spacing w:line="360" w:lineRule="auto"/>
        <w:rPr>
          <w:rFonts w:hint="eastAsia" w:ascii="宋体" w:hAnsi="宋体" w:cs="宋体"/>
          <w:b/>
          <w:bCs/>
          <w:szCs w:val="21"/>
        </w:rPr>
      </w:pPr>
      <w:r>
        <w:rPr>
          <w:rFonts w:hint="eastAsia" w:ascii="宋体" w:hAnsi="宋体" w:cs="宋体"/>
          <w:b/>
          <w:bCs/>
          <w:color w:val="000000"/>
          <w:szCs w:val="21"/>
          <w:highlight w:val="white"/>
        </w:rPr>
        <w:t>一、项目概况</w:t>
      </w:r>
      <w:bookmarkEnd w:id="440"/>
      <w:bookmarkEnd w:id="441"/>
    </w:p>
    <w:p>
      <w:pPr>
        <w:spacing w:line="360" w:lineRule="auto"/>
        <w:ind w:firstLine="420" w:firstLineChars="200"/>
        <w:rPr>
          <w:rFonts w:hint="eastAsia" w:ascii="宋体" w:hAnsi="宋体" w:cs="宋体"/>
          <w:szCs w:val="21"/>
        </w:rPr>
      </w:pPr>
      <w:r>
        <w:rPr>
          <w:rFonts w:hint="eastAsia" w:ascii="宋体" w:hAnsi="宋体" w:cs="宋体"/>
          <w:szCs w:val="21"/>
        </w:rPr>
        <w:t>项目实施地点：</w:t>
      </w:r>
      <w:r>
        <w:rPr>
          <w:rFonts w:hint="eastAsia" w:ascii="宋体" w:hAnsi="宋体" w:cs="宋体"/>
          <w:szCs w:val="21"/>
          <w:highlight w:val="white"/>
          <w:u w:val="single"/>
        </w:rPr>
        <w:t xml:space="preserve"> </w:t>
      </w:r>
      <w:r>
        <w:rPr>
          <w:rFonts w:hint="eastAsia" w:ascii="宋体" w:hAnsi="宋体" w:cs="宋体"/>
          <w:szCs w:val="21"/>
          <w:highlight w:val="white"/>
          <w:u w:val="single"/>
          <w:lang w:eastAsia="zh-CN"/>
        </w:rPr>
        <w:t>佛山市禅城区</w:t>
      </w:r>
      <w:r>
        <w:rPr>
          <w:rFonts w:hint="eastAsia" w:ascii="宋体" w:hAnsi="宋体" w:cs="宋体"/>
          <w:szCs w:val="21"/>
          <w:highlight w:val="white"/>
          <w:u w:val="single"/>
          <w:lang w:val="en-US" w:eastAsia="zh-CN"/>
        </w:rPr>
        <w:t>岭南大道8号</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资金来源：</w:t>
      </w:r>
      <w:r>
        <w:rPr>
          <w:rFonts w:hint="eastAsia" w:ascii="宋体" w:hAnsi="宋体" w:cs="宋体"/>
          <w:szCs w:val="21"/>
          <w:highlight w:val="white"/>
          <w:u w:val="single"/>
        </w:rPr>
        <w:t xml:space="preserve"> </w:t>
      </w:r>
      <w:r>
        <w:rPr>
          <w:rFonts w:hint="eastAsia" w:ascii="宋体" w:hAnsi="宋体" w:cs="宋体"/>
          <w:szCs w:val="21"/>
          <w:u w:val="single"/>
          <w:lang w:eastAsia="zh-CN"/>
        </w:rPr>
        <w:t>财政资金</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项目实施内容：详见本项目工程量清单内容。</w:t>
      </w:r>
    </w:p>
    <w:p>
      <w:pPr>
        <w:spacing w:line="360" w:lineRule="auto"/>
        <w:rPr>
          <w:rFonts w:hint="eastAsia" w:ascii="宋体" w:hAnsi="宋体" w:cs="宋体"/>
          <w:b/>
          <w:bCs/>
          <w:szCs w:val="21"/>
        </w:rPr>
      </w:pPr>
      <w:bookmarkStart w:id="443" w:name="_Toc165278939"/>
      <w:bookmarkStart w:id="444" w:name="_Toc247360920"/>
      <w:bookmarkStart w:id="445" w:name="_Toc267292931"/>
      <w:bookmarkStart w:id="446" w:name="_Toc388019505"/>
      <w:bookmarkStart w:id="447" w:name="_Toc380410496"/>
      <w:bookmarkStart w:id="448" w:name="_Toc281318244"/>
      <w:bookmarkStart w:id="449" w:name="_Toc264016673"/>
      <w:bookmarkStart w:id="450" w:name="_Toc344377002"/>
      <w:bookmarkStart w:id="451" w:name="_Toc267405030"/>
      <w:bookmarkStart w:id="452" w:name="_Toc301446084"/>
      <w:bookmarkStart w:id="453" w:name="_Toc393093275"/>
      <w:bookmarkStart w:id="454" w:name="_Toc384819738"/>
      <w:bookmarkStart w:id="455" w:name="_Toc303674811"/>
      <w:bookmarkStart w:id="456" w:name="_Toc263972921"/>
      <w:bookmarkStart w:id="457" w:name="_Toc303329377"/>
      <w:bookmarkStart w:id="458" w:name="_Toc256522975"/>
      <w:bookmarkStart w:id="459" w:name="_Toc380073156"/>
      <w:bookmarkStart w:id="460" w:name="_Toc281318296"/>
      <w:bookmarkStart w:id="461" w:name="_Toc328743152"/>
      <w:bookmarkStart w:id="462" w:name="_Toc267292874"/>
      <w:bookmarkStart w:id="463" w:name="_Toc264009653"/>
      <w:bookmarkStart w:id="464" w:name="_Toc303332813"/>
      <w:bookmarkStart w:id="465" w:name="_Toc281407031"/>
      <w:bookmarkStart w:id="466" w:name="_Toc281406968"/>
      <w:bookmarkStart w:id="467" w:name="_Toc346263601"/>
      <w:bookmarkStart w:id="468" w:name="_Toc394329404"/>
      <w:bookmarkStart w:id="469" w:name="_Toc328743304"/>
      <w:bookmarkStart w:id="470" w:name="_Toc301431241"/>
      <w:bookmarkStart w:id="471" w:name="_Toc459727900"/>
      <w:r>
        <w:rPr>
          <w:rFonts w:hint="eastAsia" w:ascii="宋体" w:hAnsi="宋体" w:cs="宋体"/>
          <w:b/>
          <w:bCs/>
          <w:color w:val="000000"/>
          <w:szCs w:val="21"/>
          <w:highlight w:val="white"/>
        </w:rPr>
        <w:t>二、项目承包</w:t>
      </w:r>
      <w:bookmarkEnd w:id="443"/>
      <w:bookmarkEnd w:id="444"/>
      <w:r>
        <w:rPr>
          <w:rFonts w:hint="eastAsia" w:ascii="宋体" w:hAnsi="宋体" w:cs="宋体"/>
          <w:b/>
          <w:bCs/>
          <w:color w:val="000000"/>
          <w:szCs w:val="21"/>
          <w:highlight w:val="white"/>
        </w:rPr>
        <w:t>方式</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spacing w:line="360" w:lineRule="auto"/>
        <w:ind w:left="1890" w:leftChars="200" w:hanging="1470" w:hangingChars="700"/>
        <w:rPr>
          <w:rFonts w:hint="eastAsia" w:ascii="宋体" w:hAnsi="宋体" w:cs="宋体"/>
          <w:szCs w:val="21"/>
        </w:rPr>
      </w:pPr>
      <w:r>
        <w:rPr>
          <w:rFonts w:hint="eastAsia" w:ascii="宋体" w:hAnsi="宋体" w:cs="宋体"/>
          <w:szCs w:val="21"/>
        </w:rPr>
        <w:t>项目承包方式：包工、包材料、包质量、包工期、包安全。</w:t>
      </w:r>
    </w:p>
    <w:p>
      <w:pPr>
        <w:spacing w:line="360" w:lineRule="auto"/>
        <w:ind w:left="1890" w:leftChars="200" w:hanging="1470" w:hangingChars="700"/>
        <w:rPr>
          <w:rFonts w:hint="eastAsia" w:ascii="宋体" w:hAnsi="宋体" w:cs="宋体"/>
          <w:szCs w:val="21"/>
        </w:rPr>
      </w:pPr>
      <w:r>
        <w:rPr>
          <w:rFonts w:hint="eastAsia" w:ascii="宋体" w:hAnsi="宋体" w:cs="宋体"/>
          <w:bCs/>
          <w:szCs w:val="21"/>
        </w:rPr>
        <w:t>工程承包范围：</w:t>
      </w:r>
      <w:r>
        <w:rPr>
          <w:rFonts w:hint="eastAsia" w:ascii="宋体" w:hAnsi="宋体" w:cs="宋体"/>
          <w:szCs w:val="21"/>
          <w:highlight w:val="white"/>
          <w:u w:val="single"/>
        </w:rPr>
        <w:t xml:space="preserve"> 以图纸和工程量清单所包括的范围和内容为准</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rPr>
          <w:rFonts w:hint="eastAsia" w:ascii="宋体" w:hAnsi="宋体" w:cs="宋体"/>
          <w:b/>
          <w:bCs/>
          <w:szCs w:val="21"/>
        </w:rPr>
      </w:pPr>
      <w:bookmarkStart w:id="472" w:name="_Toc165278940"/>
      <w:bookmarkStart w:id="473" w:name="_Toc301446085"/>
      <w:bookmarkStart w:id="474" w:name="_Toc264009654"/>
      <w:bookmarkStart w:id="475" w:name="_Toc303332814"/>
      <w:bookmarkStart w:id="476" w:name="_Toc267405031"/>
      <w:bookmarkStart w:id="477" w:name="_Toc459727901"/>
      <w:bookmarkStart w:id="478" w:name="_Toc267292875"/>
      <w:bookmarkStart w:id="479" w:name="_Toc346263602"/>
      <w:bookmarkStart w:id="480" w:name="_Toc393093276"/>
      <w:bookmarkStart w:id="481" w:name="_Toc256522976"/>
      <w:bookmarkStart w:id="482" w:name="_Toc303329378"/>
      <w:bookmarkStart w:id="483" w:name="_Toc380073157"/>
      <w:bookmarkStart w:id="484" w:name="_Toc281407032"/>
      <w:bookmarkStart w:id="485" w:name="_Toc301431242"/>
      <w:bookmarkStart w:id="486" w:name="_Toc328743305"/>
      <w:bookmarkStart w:id="487" w:name="_Toc281406969"/>
      <w:bookmarkStart w:id="488" w:name="_Toc328743153"/>
      <w:bookmarkStart w:id="489" w:name="_Toc344377003"/>
      <w:bookmarkStart w:id="490" w:name="_Toc247360921"/>
      <w:bookmarkStart w:id="491" w:name="_Toc384819739"/>
      <w:bookmarkStart w:id="492" w:name="_Toc394329405"/>
      <w:bookmarkStart w:id="493" w:name="_Toc264016674"/>
      <w:bookmarkStart w:id="494" w:name="_Toc388019506"/>
      <w:bookmarkStart w:id="495" w:name="_Toc263972922"/>
      <w:bookmarkStart w:id="496" w:name="_Toc281318297"/>
      <w:bookmarkStart w:id="497" w:name="_Toc380410497"/>
      <w:bookmarkStart w:id="498" w:name="_Toc267292932"/>
      <w:bookmarkStart w:id="499" w:name="_Toc303674812"/>
      <w:bookmarkStart w:id="500" w:name="_Toc281318245"/>
      <w:r>
        <w:rPr>
          <w:rFonts w:hint="eastAsia" w:ascii="宋体" w:hAnsi="宋体" w:cs="宋体"/>
          <w:b/>
          <w:bCs/>
          <w:color w:val="000000"/>
          <w:szCs w:val="21"/>
          <w:highlight w:val="white"/>
        </w:rPr>
        <w:t>三、</w:t>
      </w:r>
      <w:bookmarkEnd w:id="472"/>
      <w:r>
        <w:rPr>
          <w:rFonts w:hint="eastAsia" w:ascii="宋体" w:hAnsi="宋体" w:cs="宋体"/>
          <w:b/>
          <w:bCs/>
          <w:color w:val="000000"/>
          <w:szCs w:val="21"/>
          <w:highlight w:val="white"/>
        </w:rPr>
        <w:t>项目合同完工期</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spacing w:line="360" w:lineRule="auto"/>
        <w:ind w:firstLine="420" w:firstLineChars="200"/>
        <w:rPr>
          <w:rFonts w:hint="eastAsia" w:ascii="宋体" w:hAnsi="宋体" w:cs="宋体"/>
          <w:bCs/>
          <w:szCs w:val="21"/>
        </w:rPr>
      </w:pPr>
      <w:r>
        <w:rPr>
          <w:rFonts w:hint="eastAsia" w:ascii="宋体" w:hAnsi="宋体" w:cs="宋体"/>
          <w:bCs/>
          <w:szCs w:val="21"/>
        </w:rPr>
        <w:t xml:space="preserve">自合同签订之日起 </w:t>
      </w:r>
      <w:r>
        <w:rPr>
          <w:rFonts w:hint="eastAsia" w:ascii="宋体" w:hAnsi="宋体" w:cs="宋体"/>
          <w:bCs/>
          <w:szCs w:val="21"/>
          <w:lang w:val="en-US" w:eastAsia="zh-CN"/>
        </w:rPr>
        <w:t>2</w:t>
      </w:r>
      <w:r>
        <w:rPr>
          <w:rFonts w:hint="eastAsia" w:ascii="宋体" w:hAnsi="宋体" w:cs="宋体"/>
          <w:bCs/>
          <w:szCs w:val="21"/>
        </w:rPr>
        <w:t>0 日历天</w:t>
      </w:r>
      <w:r>
        <w:rPr>
          <w:rFonts w:hint="eastAsia" w:ascii="宋体" w:hAnsi="宋体" w:cs="宋体"/>
          <w:bCs/>
          <w:szCs w:val="21"/>
          <w:lang w:eastAsia="zh-CN"/>
        </w:rPr>
        <w:t>内完成工作并验收合格</w:t>
      </w:r>
      <w:r>
        <w:rPr>
          <w:rFonts w:hint="eastAsia" w:ascii="宋体" w:hAnsi="宋体" w:cs="宋体"/>
          <w:bCs/>
          <w:szCs w:val="21"/>
        </w:rPr>
        <w:t>。</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实际开工日期以采购人或监理单位发出的开工令为准。本工程必须按计划施工，且工期不因节假日、雨季等因素顺延。</w:t>
      </w:r>
    </w:p>
    <w:p>
      <w:pPr>
        <w:spacing w:line="360" w:lineRule="auto"/>
        <w:rPr>
          <w:rFonts w:hint="eastAsia" w:ascii="宋体" w:hAnsi="宋体" w:cs="宋体"/>
          <w:b/>
          <w:bCs/>
          <w:szCs w:val="21"/>
        </w:rPr>
      </w:pPr>
      <w:bookmarkStart w:id="501" w:name="_Toc303674813"/>
      <w:bookmarkStart w:id="502" w:name="_Toc328743154"/>
      <w:bookmarkStart w:id="503" w:name="_Toc264016675"/>
      <w:bookmarkStart w:id="504" w:name="_Toc301446086"/>
      <w:bookmarkStart w:id="505" w:name="_Toc380073158"/>
      <w:bookmarkStart w:id="506" w:name="_Toc380410498"/>
      <w:bookmarkStart w:id="507" w:name="_Toc459727902"/>
      <w:bookmarkStart w:id="508" w:name="_Toc267292876"/>
      <w:bookmarkStart w:id="509" w:name="_Toc393093277"/>
      <w:bookmarkStart w:id="510" w:name="_Toc247360922"/>
      <w:bookmarkStart w:id="511" w:name="_Toc346263603"/>
      <w:bookmarkStart w:id="512" w:name="_Toc394329406"/>
      <w:bookmarkStart w:id="513" w:name="_Toc256522977"/>
      <w:bookmarkStart w:id="514" w:name="_Toc281406970"/>
      <w:bookmarkStart w:id="515" w:name="_Toc165278941"/>
      <w:bookmarkStart w:id="516" w:name="_Toc303332815"/>
      <w:bookmarkStart w:id="517" w:name="_Toc281318246"/>
      <w:bookmarkStart w:id="518" w:name="_Toc303329379"/>
      <w:bookmarkStart w:id="519" w:name="_Toc344377004"/>
      <w:bookmarkStart w:id="520" w:name="_Toc301431243"/>
      <w:bookmarkStart w:id="521" w:name="_Toc263972923"/>
      <w:bookmarkStart w:id="522" w:name="_Toc328743306"/>
      <w:bookmarkStart w:id="523" w:name="_Toc267292933"/>
      <w:bookmarkStart w:id="524" w:name="_Toc267405032"/>
      <w:bookmarkStart w:id="525" w:name="_Toc281407033"/>
      <w:bookmarkStart w:id="526" w:name="_Toc264009655"/>
      <w:bookmarkStart w:id="527" w:name="_Toc388019507"/>
      <w:bookmarkStart w:id="528" w:name="_Toc281318298"/>
      <w:bookmarkStart w:id="529" w:name="_Toc384819740"/>
      <w:r>
        <w:rPr>
          <w:rFonts w:hint="eastAsia" w:ascii="宋体" w:hAnsi="宋体" w:cs="宋体"/>
          <w:b/>
          <w:bCs/>
          <w:color w:val="000000"/>
          <w:szCs w:val="21"/>
          <w:highlight w:val="white"/>
        </w:rPr>
        <w:t>四、质量标准</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spacing w:line="360" w:lineRule="auto"/>
        <w:ind w:left="420" w:hanging="420" w:hangingChars="200"/>
        <w:rPr>
          <w:rFonts w:hint="eastAsia" w:ascii="宋体" w:hAnsi="宋体" w:cs="宋体"/>
          <w:szCs w:val="21"/>
        </w:rPr>
      </w:pPr>
      <w:r>
        <w:rPr>
          <w:rFonts w:hint="eastAsia" w:ascii="宋体" w:hAnsi="宋体" w:cs="宋体"/>
          <w:szCs w:val="21"/>
        </w:rPr>
        <w:t xml:space="preserve">    项目质量标准：合格。</w:t>
      </w:r>
    </w:p>
    <w:p>
      <w:pPr>
        <w:spacing w:line="360" w:lineRule="auto"/>
        <w:rPr>
          <w:rFonts w:hint="eastAsia" w:ascii="宋体" w:hAnsi="宋体" w:cs="宋体"/>
          <w:b/>
          <w:bCs/>
          <w:szCs w:val="21"/>
        </w:rPr>
      </w:pPr>
      <w:bookmarkStart w:id="530" w:name="_Toc301446087"/>
      <w:bookmarkStart w:id="531" w:name="_Toc256522978"/>
      <w:bookmarkStart w:id="532" w:name="_Toc267405033"/>
      <w:bookmarkStart w:id="533" w:name="_Toc281318299"/>
      <w:bookmarkStart w:id="534" w:name="_Toc301431244"/>
      <w:bookmarkStart w:id="535" w:name="_Toc264009656"/>
      <w:bookmarkStart w:id="536" w:name="_Toc384819741"/>
      <w:bookmarkStart w:id="537" w:name="_Toc267292877"/>
      <w:bookmarkStart w:id="538" w:name="_Toc344377005"/>
      <w:bookmarkStart w:id="539" w:name="_Toc388019508"/>
      <w:bookmarkStart w:id="540" w:name="_Toc394329407"/>
      <w:bookmarkStart w:id="541" w:name="_Toc165278942"/>
      <w:bookmarkStart w:id="542" w:name="_Toc267292934"/>
      <w:bookmarkStart w:id="543" w:name="_Toc303332816"/>
      <w:bookmarkStart w:id="544" w:name="_Toc328743155"/>
      <w:bookmarkStart w:id="545" w:name="_Toc281318247"/>
      <w:bookmarkStart w:id="546" w:name="_Toc247360923"/>
      <w:bookmarkStart w:id="547" w:name="_Toc393093278"/>
      <w:bookmarkStart w:id="548" w:name="_Toc263972924"/>
      <w:bookmarkStart w:id="549" w:name="_Toc328743307"/>
      <w:bookmarkStart w:id="550" w:name="_Toc380073159"/>
      <w:bookmarkStart w:id="551" w:name="_Toc264016676"/>
      <w:bookmarkStart w:id="552" w:name="_Toc303329380"/>
      <w:bookmarkStart w:id="553" w:name="_Toc459727903"/>
      <w:bookmarkStart w:id="554" w:name="_Toc281406971"/>
      <w:bookmarkStart w:id="555" w:name="_Toc303674814"/>
      <w:bookmarkStart w:id="556" w:name="_Toc281407034"/>
      <w:bookmarkStart w:id="557" w:name="_Toc346263604"/>
      <w:bookmarkStart w:id="558" w:name="_Toc380410499"/>
      <w:r>
        <w:rPr>
          <w:rFonts w:hint="eastAsia" w:ascii="宋体" w:hAnsi="宋体" w:cs="宋体"/>
          <w:b/>
          <w:bCs/>
          <w:color w:val="000000"/>
          <w:szCs w:val="21"/>
          <w:highlight w:val="white"/>
        </w:rPr>
        <w:t>五、合同价款</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spacing w:line="360" w:lineRule="auto"/>
        <w:rPr>
          <w:rFonts w:hint="eastAsia" w:ascii="宋体" w:hAnsi="宋体" w:cs="宋体"/>
          <w:szCs w:val="21"/>
        </w:rPr>
      </w:pPr>
      <w:r>
        <w:rPr>
          <w:rFonts w:hint="eastAsia" w:ascii="宋体" w:hAnsi="宋体" w:cs="宋体"/>
          <w:szCs w:val="21"/>
        </w:rPr>
        <w:t xml:space="preserve">    合同总价（大写）：</w:t>
      </w:r>
      <w:r>
        <w:rPr>
          <w:rFonts w:hint="eastAsia" w:ascii="宋体" w:hAnsi="宋体" w:cs="宋体"/>
          <w:szCs w:val="21"/>
          <w:u w:val="dotted"/>
        </w:rPr>
        <w:t xml:space="preserve">                                 </w:t>
      </w:r>
      <w:r>
        <w:rPr>
          <w:rFonts w:hint="eastAsia" w:ascii="宋体" w:hAnsi="宋体" w:cs="宋体"/>
          <w:szCs w:val="21"/>
        </w:rPr>
        <w:t>元；</w:t>
      </w:r>
    </w:p>
    <w:p>
      <w:pPr>
        <w:spacing w:line="360" w:lineRule="auto"/>
        <w:ind w:firstLine="1295" w:firstLineChars="617"/>
        <w:rPr>
          <w:rFonts w:hint="eastAsia" w:ascii="宋体" w:hAnsi="宋体" w:cs="宋体"/>
          <w:szCs w:val="21"/>
        </w:rPr>
      </w:pPr>
      <w:r>
        <w:rPr>
          <w:rFonts w:hint="eastAsia" w:ascii="宋体" w:hAnsi="宋体" w:cs="宋体"/>
          <w:szCs w:val="21"/>
        </w:rPr>
        <w:t>（小写）：</w:t>
      </w:r>
      <w:r>
        <w:rPr>
          <w:rFonts w:hint="eastAsia" w:ascii="宋体" w:hAnsi="宋体" w:cs="宋体"/>
          <w:szCs w:val="21"/>
          <w:u w:val="dotted"/>
        </w:rPr>
        <w:t xml:space="preserve">                                 </w:t>
      </w:r>
      <w:r>
        <w:rPr>
          <w:rFonts w:hint="eastAsia" w:ascii="宋体" w:hAnsi="宋体" w:cs="宋体"/>
          <w:szCs w:val="21"/>
        </w:rPr>
        <w:t>元。</w:t>
      </w:r>
    </w:p>
    <w:p>
      <w:pPr>
        <w:spacing w:line="360" w:lineRule="auto"/>
        <w:ind w:firstLine="420" w:firstLineChars="200"/>
        <w:rPr>
          <w:rFonts w:hint="eastAsia" w:ascii="宋体" w:hAnsi="宋体" w:cs="宋体"/>
          <w:szCs w:val="21"/>
        </w:rPr>
      </w:pPr>
      <w:r>
        <w:rPr>
          <w:rFonts w:hint="eastAsia" w:ascii="宋体" w:hAnsi="宋体" w:cs="宋体"/>
          <w:szCs w:val="21"/>
        </w:rPr>
        <w:t>其中：</w:t>
      </w:r>
      <w:r>
        <w:rPr>
          <w:rFonts w:hint="eastAsia" w:ascii="宋体" w:hAnsi="宋体" w:cs="宋体"/>
          <w:szCs w:val="21"/>
          <w:lang w:eastAsia="zh-CN"/>
        </w:rPr>
        <w:t>安全文明施工费</w:t>
      </w:r>
      <w:r>
        <w:rPr>
          <w:rFonts w:hint="eastAsia" w:ascii="宋体" w:hAnsi="宋体" w:cs="宋体"/>
          <w:szCs w:val="21"/>
        </w:rPr>
        <w:t>：人民币（大写）：</w:t>
      </w:r>
      <w:r>
        <w:rPr>
          <w:rFonts w:hint="eastAsia" w:ascii="宋体" w:hAnsi="宋体" w:cs="宋体"/>
          <w:szCs w:val="21"/>
          <w:u w:val="dotted"/>
        </w:rPr>
        <w:t xml:space="preserve">                 </w:t>
      </w:r>
      <w:r>
        <w:rPr>
          <w:rFonts w:hint="eastAsia" w:ascii="宋体" w:hAnsi="宋体" w:cs="宋体"/>
          <w:szCs w:val="21"/>
        </w:rPr>
        <w:t>元；（小写）：</w:t>
      </w:r>
      <w:r>
        <w:rPr>
          <w:rFonts w:hint="eastAsia" w:ascii="宋体" w:hAnsi="宋体" w:cs="宋体"/>
          <w:szCs w:val="21"/>
          <w:u w:val="dotted"/>
        </w:rPr>
        <w:t xml:space="preserve">          </w:t>
      </w:r>
      <w:r>
        <w:rPr>
          <w:rFonts w:hint="eastAsia" w:ascii="宋体" w:hAnsi="宋体" w:cs="宋体"/>
          <w:szCs w:val="21"/>
        </w:rPr>
        <w:t>元。</w:t>
      </w:r>
    </w:p>
    <w:p>
      <w:pPr>
        <w:spacing w:line="360" w:lineRule="auto"/>
        <w:ind w:firstLine="1050" w:firstLineChars="500"/>
        <w:rPr>
          <w:rFonts w:hint="eastAsia" w:ascii="宋体" w:hAnsi="宋体" w:cs="宋体"/>
          <w:kern w:val="0"/>
          <w:szCs w:val="21"/>
        </w:rPr>
      </w:pPr>
      <w:r>
        <w:rPr>
          <w:rFonts w:hint="eastAsia" w:ascii="宋体" w:hAnsi="宋体" w:cs="宋体"/>
          <w:szCs w:val="21"/>
          <w:lang w:eastAsia="zh-CN"/>
        </w:rPr>
        <w:t>暂列金</w:t>
      </w:r>
      <w:r>
        <w:rPr>
          <w:rFonts w:hint="eastAsia" w:ascii="宋体" w:hAnsi="宋体" w:cs="宋体"/>
          <w:szCs w:val="21"/>
        </w:rPr>
        <w:t>：人民币（大写）：</w:t>
      </w:r>
      <w:r>
        <w:rPr>
          <w:rFonts w:hint="eastAsia" w:ascii="宋体" w:hAnsi="宋体" w:cs="宋体"/>
          <w:szCs w:val="21"/>
          <w:u w:val="dotted"/>
        </w:rPr>
        <w:t xml:space="preserve">                 </w:t>
      </w:r>
      <w:r>
        <w:rPr>
          <w:rFonts w:hint="eastAsia" w:ascii="宋体" w:hAnsi="宋体" w:cs="宋体"/>
          <w:szCs w:val="21"/>
        </w:rPr>
        <w:t>元；（小写）：</w:t>
      </w:r>
      <w:r>
        <w:rPr>
          <w:rFonts w:hint="eastAsia" w:ascii="宋体" w:hAnsi="宋体" w:cs="宋体"/>
          <w:szCs w:val="21"/>
          <w:u w:val="dotted"/>
        </w:rPr>
        <w:t xml:space="preserve">          </w:t>
      </w:r>
      <w:r>
        <w:rPr>
          <w:rFonts w:hint="eastAsia" w:ascii="宋体" w:hAnsi="宋体" w:cs="宋体"/>
          <w:szCs w:val="21"/>
        </w:rPr>
        <w:t>元。</w:t>
      </w:r>
    </w:p>
    <w:p>
      <w:pPr>
        <w:spacing w:line="360" w:lineRule="auto"/>
        <w:ind w:firstLine="420" w:firstLineChars="200"/>
        <w:rPr>
          <w:rFonts w:hint="eastAsia" w:ascii="宋体" w:hAnsi="宋体" w:cs="宋体"/>
          <w:bCs/>
          <w:szCs w:val="21"/>
        </w:rPr>
      </w:pPr>
      <w:r>
        <w:rPr>
          <w:rFonts w:hint="eastAsia" w:ascii="宋体" w:hAnsi="宋体" w:cs="宋体"/>
          <w:kern w:val="0"/>
          <w:szCs w:val="21"/>
        </w:rPr>
        <w:t>本工程采用：固定综合单价合同，工程结算造价以成交的综合单价和实际完成的工程量（须经发包人确认）为依据计算。</w:t>
      </w:r>
      <w:r>
        <w:rPr>
          <w:rFonts w:hint="eastAsia" w:ascii="宋体" w:hAnsi="宋体" w:cs="宋体"/>
          <w:bCs/>
          <w:szCs w:val="21"/>
        </w:rPr>
        <w:t>合同金额包括</w:t>
      </w:r>
      <w:r>
        <w:rPr>
          <w:rFonts w:hint="eastAsia" w:ascii="宋体" w:hAnsi="宋体" w:cs="宋体"/>
          <w:bCs/>
          <w:szCs w:val="21"/>
          <w:lang w:eastAsia="zh-CN"/>
        </w:rPr>
        <w:t>货物及零配件的购置和安装、工程实施、施工场地勘查费、运输保险、垃圾清运、装卸、工地管理及水电费、办理施工报建和报验手续、材料检验费、质保期售后服务及质量保修期间的维修保养费用、雇员费用、税费、合理利润、风险费用及合同签订过程中可预见和不可预见费用。</w:t>
      </w:r>
    </w:p>
    <w:p>
      <w:pPr>
        <w:spacing w:line="360" w:lineRule="auto"/>
        <w:rPr>
          <w:rFonts w:hint="eastAsia" w:ascii="宋体" w:hAnsi="宋体" w:cs="宋体"/>
          <w:b/>
          <w:bCs/>
          <w:szCs w:val="21"/>
        </w:rPr>
      </w:pPr>
      <w:bookmarkStart w:id="559" w:name="_Toc165278943"/>
      <w:bookmarkStart w:id="560" w:name="_Toc303329381"/>
      <w:bookmarkStart w:id="561" w:name="_Toc281407035"/>
      <w:bookmarkStart w:id="562" w:name="_Toc388019509"/>
      <w:bookmarkStart w:id="563" w:name="_Toc264016677"/>
      <w:bookmarkStart w:id="564" w:name="_Toc380410500"/>
      <w:bookmarkStart w:id="565" w:name="_Toc281406972"/>
      <w:bookmarkStart w:id="566" w:name="_Toc264009657"/>
      <w:bookmarkStart w:id="567" w:name="_Toc328743156"/>
      <w:bookmarkStart w:id="568" w:name="_Toc394329408"/>
      <w:bookmarkStart w:id="569" w:name="_Toc328743308"/>
      <w:bookmarkStart w:id="570" w:name="_Toc301446088"/>
      <w:bookmarkStart w:id="571" w:name="_Toc267292935"/>
      <w:bookmarkStart w:id="572" w:name="_Toc247360924"/>
      <w:bookmarkStart w:id="573" w:name="_Toc344377006"/>
      <w:bookmarkStart w:id="574" w:name="_Toc303332817"/>
      <w:bookmarkStart w:id="575" w:name="_Toc281318300"/>
      <w:bookmarkStart w:id="576" w:name="_Toc346263605"/>
      <w:bookmarkStart w:id="577" w:name="_Toc301431245"/>
      <w:bookmarkStart w:id="578" w:name="_Toc256522979"/>
      <w:bookmarkStart w:id="579" w:name="_Toc281318248"/>
      <w:bookmarkStart w:id="580" w:name="_Toc263972925"/>
      <w:bookmarkStart w:id="581" w:name="_Toc459727904"/>
      <w:bookmarkStart w:id="582" w:name="_Toc267292878"/>
      <w:bookmarkStart w:id="583" w:name="_Toc267405034"/>
      <w:bookmarkStart w:id="584" w:name="_Toc380073160"/>
      <w:bookmarkStart w:id="585" w:name="_Toc384819742"/>
      <w:bookmarkStart w:id="586" w:name="_Toc393093279"/>
      <w:bookmarkStart w:id="587" w:name="_Toc303674815"/>
      <w:r>
        <w:rPr>
          <w:rFonts w:hint="eastAsia" w:ascii="宋体" w:hAnsi="宋体" w:cs="宋体"/>
          <w:b/>
          <w:bCs/>
          <w:color w:val="000000"/>
          <w:szCs w:val="21"/>
          <w:highlight w:val="white"/>
        </w:rPr>
        <w:t>六、组成合同的文件</w:t>
      </w:r>
      <w:bookmarkEnd w:id="559"/>
      <w:r>
        <w:rPr>
          <w:rFonts w:hint="eastAsia" w:ascii="宋体" w:hAnsi="宋体" w:cs="宋体"/>
          <w:b/>
          <w:bCs/>
          <w:color w:val="000000"/>
          <w:szCs w:val="21"/>
          <w:highlight w:val="white"/>
        </w:rPr>
        <w:t>及优先解释顺序</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13"/>
        <w:widowControl/>
        <w:numPr>
          <w:ilvl w:val="0"/>
          <w:numId w:val="11"/>
        </w:numPr>
        <w:tabs>
          <w:tab w:val="left" w:pos="540"/>
        </w:tabs>
        <w:spacing w:line="360" w:lineRule="auto"/>
        <w:ind w:left="540" w:hanging="540"/>
        <w:jc w:val="left"/>
        <w:rPr>
          <w:rFonts w:hint="eastAsia" w:hAnsi="宋体" w:cs="宋体"/>
          <w:bCs/>
          <w:szCs w:val="21"/>
        </w:rPr>
      </w:pPr>
      <w:r>
        <w:rPr>
          <w:rFonts w:hint="eastAsia" w:hAnsi="宋体" w:cs="宋体"/>
          <w:bCs/>
          <w:szCs w:val="21"/>
        </w:rPr>
        <w:t>本合同协议书；</w:t>
      </w:r>
    </w:p>
    <w:p>
      <w:pPr>
        <w:pStyle w:val="13"/>
        <w:widowControl/>
        <w:numPr>
          <w:ilvl w:val="0"/>
          <w:numId w:val="11"/>
        </w:numPr>
        <w:tabs>
          <w:tab w:val="left" w:pos="540"/>
        </w:tabs>
        <w:spacing w:line="360" w:lineRule="auto"/>
        <w:ind w:left="540" w:hanging="540"/>
        <w:jc w:val="left"/>
        <w:rPr>
          <w:rFonts w:hint="eastAsia" w:hAnsi="宋体" w:cs="宋体"/>
          <w:bCs/>
          <w:szCs w:val="21"/>
        </w:rPr>
      </w:pPr>
      <w:r>
        <w:rPr>
          <w:rFonts w:hint="eastAsia" w:hAnsi="宋体" w:cs="宋体"/>
          <w:bCs/>
          <w:szCs w:val="21"/>
        </w:rPr>
        <w:t>双方在履行合同过程中有关工程项目的洽商、变更等方面的协议或文件；</w:t>
      </w:r>
    </w:p>
    <w:p>
      <w:pPr>
        <w:pStyle w:val="13"/>
        <w:widowControl/>
        <w:numPr>
          <w:ilvl w:val="0"/>
          <w:numId w:val="11"/>
        </w:numPr>
        <w:tabs>
          <w:tab w:val="left" w:pos="540"/>
        </w:tabs>
        <w:spacing w:line="360" w:lineRule="auto"/>
        <w:ind w:left="540" w:hanging="540"/>
        <w:jc w:val="left"/>
        <w:rPr>
          <w:rFonts w:hint="eastAsia" w:hAnsi="宋体" w:cs="宋体"/>
          <w:bCs/>
          <w:szCs w:val="21"/>
        </w:rPr>
      </w:pPr>
      <w:r>
        <w:rPr>
          <w:rFonts w:hint="eastAsia" w:hAnsi="宋体" w:cs="宋体"/>
          <w:bCs/>
          <w:szCs w:val="21"/>
        </w:rPr>
        <w:t>成交通知书；</w:t>
      </w:r>
    </w:p>
    <w:p>
      <w:pPr>
        <w:pStyle w:val="13"/>
        <w:widowControl/>
        <w:numPr>
          <w:ilvl w:val="0"/>
          <w:numId w:val="11"/>
        </w:numPr>
        <w:tabs>
          <w:tab w:val="left" w:pos="540"/>
        </w:tabs>
        <w:spacing w:line="360" w:lineRule="auto"/>
        <w:ind w:left="540" w:hanging="540"/>
        <w:jc w:val="left"/>
        <w:rPr>
          <w:rFonts w:hint="eastAsia" w:hAnsi="宋体" w:cs="宋体"/>
          <w:bCs/>
          <w:szCs w:val="21"/>
        </w:rPr>
      </w:pPr>
      <w:r>
        <w:rPr>
          <w:rFonts w:hint="eastAsia" w:hAnsi="宋体" w:cs="宋体"/>
          <w:bCs/>
          <w:szCs w:val="21"/>
        </w:rPr>
        <w:t>承包人响应文件及其附件（含评审期间的澄清文件和补充资料）；</w:t>
      </w:r>
    </w:p>
    <w:p>
      <w:pPr>
        <w:pStyle w:val="13"/>
        <w:widowControl/>
        <w:numPr>
          <w:ilvl w:val="0"/>
          <w:numId w:val="11"/>
        </w:numPr>
        <w:tabs>
          <w:tab w:val="left" w:pos="540"/>
        </w:tabs>
        <w:spacing w:line="360" w:lineRule="auto"/>
        <w:ind w:left="540" w:hanging="540"/>
        <w:jc w:val="left"/>
        <w:rPr>
          <w:rFonts w:hint="eastAsia" w:hAnsi="宋体" w:cs="宋体"/>
          <w:bCs/>
          <w:szCs w:val="21"/>
        </w:rPr>
      </w:pPr>
      <w:r>
        <w:rPr>
          <w:rFonts w:hint="eastAsia" w:hAnsi="宋体" w:cs="宋体"/>
          <w:bCs/>
          <w:szCs w:val="21"/>
        </w:rPr>
        <w:t>专用合同条款及其附件；</w:t>
      </w:r>
    </w:p>
    <w:p>
      <w:pPr>
        <w:pStyle w:val="13"/>
        <w:widowControl/>
        <w:numPr>
          <w:ilvl w:val="0"/>
          <w:numId w:val="11"/>
        </w:numPr>
        <w:tabs>
          <w:tab w:val="left" w:pos="540"/>
        </w:tabs>
        <w:spacing w:line="360" w:lineRule="auto"/>
        <w:ind w:left="540" w:hanging="540"/>
        <w:jc w:val="left"/>
        <w:rPr>
          <w:rFonts w:hint="eastAsia" w:hAnsi="宋体" w:cs="宋体"/>
          <w:bCs/>
          <w:szCs w:val="21"/>
        </w:rPr>
      </w:pPr>
      <w:r>
        <w:rPr>
          <w:rFonts w:hint="eastAsia" w:hAnsi="宋体" w:cs="宋体"/>
          <w:bCs/>
          <w:szCs w:val="21"/>
        </w:rPr>
        <w:t>合同通用条款；</w:t>
      </w:r>
    </w:p>
    <w:p>
      <w:pPr>
        <w:pStyle w:val="13"/>
        <w:widowControl/>
        <w:numPr>
          <w:ilvl w:val="0"/>
          <w:numId w:val="11"/>
        </w:numPr>
        <w:tabs>
          <w:tab w:val="left" w:pos="540"/>
        </w:tabs>
        <w:spacing w:line="360" w:lineRule="auto"/>
        <w:ind w:left="540" w:hanging="540"/>
        <w:jc w:val="left"/>
        <w:rPr>
          <w:rFonts w:hint="eastAsia" w:hAnsi="宋体" w:cs="宋体"/>
          <w:bCs/>
          <w:szCs w:val="21"/>
        </w:rPr>
      </w:pPr>
      <w:r>
        <w:rPr>
          <w:rFonts w:hint="eastAsia" w:hAnsi="宋体" w:cs="宋体"/>
          <w:bCs/>
          <w:szCs w:val="21"/>
        </w:rPr>
        <w:t>技术标准和要求；</w:t>
      </w:r>
    </w:p>
    <w:p>
      <w:pPr>
        <w:pStyle w:val="13"/>
        <w:widowControl/>
        <w:numPr>
          <w:ilvl w:val="0"/>
          <w:numId w:val="11"/>
        </w:numPr>
        <w:tabs>
          <w:tab w:val="left" w:pos="540"/>
        </w:tabs>
        <w:spacing w:line="360" w:lineRule="auto"/>
        <w:ind w:left="540" w:hanging="540"/>
        <w:jc w:val="left"/>
        <w:rPr>
          <w:rFonts w:hint="eastAsia" w:hAnsi="宋体" w:cs="宋体"/>
          <w:bCs/>
          <w:szCs w:val="21"/>
        </w:rPr>
      </w:pPr>
      <w:r>
        <w:rPr>
          <w:rFonts w:hint="eastAsia" w:hAnsi="宋体" w:cs="宋体"/>
          <w:bCs/>
          <w:szCs w:val="21"/>
        </w:rPr>
        <w:t>图纸；</w:t>
      </w:r>
    </w:p>
    <w:p>
      <w:pPr>
        <w:pStyle w:val="13"/>
        <w:widowControl/>
        <w:numPr>
          <w:ilvl w:val="0"/>
          <w:numId w:val="11"/>
        </w:numPr>
        <w:tabs>
          <w:tab w:val="left" w:pos="540"/>
        </w:tabs>
        <w:spacing w:line="360" w:lineRule="auto"/>
        <w:ind w:left="540" w:hanging="540"/>
        <w:jc w:val="left"/>
        <w:rPr>
          <w:rFonts w:hint="eastAsia" w:hAnsi="宋体" w:cs="宋体"/>
          <w:bCs/>
          <w:szCs w:val="21"/>
        </w:rPr>
      </w:pPr>
      <w:r>
        <w:rPr>
          <w:rFonts w:hint="eastAsia" w:hAnsi="宋体" w:cs="宋体"/>
          <w:bCs/>
          <w:szCs w:val="21"/>
        </w:rPr>
        <w:t>银行履约保函；</w:t>
      </w:r>
    </w:p>
    <w:p>
      <w:pPr>
        <w:pStyle w:val="13"/>
        <w:widowControl/>
        <w:numPr>
          <w:ilvl w:val="0"/>
          <w:numId w:val="11"/>
        </w:numPr>
        <w:tabs>
          <w:tab w:val="left" w:pos="540"/>
        </w:tabs>
        <w:spacing w:line="360" w:lineRule="auto"/>
        <w:ind w:left="540" w:hanging="540"/>
        <w:jc w:val="left"/>
        <w:rPr>
          <w:rFonts w:hint="eastAsia" w:hAnsi="宋体" w:cs="宋体"/>
          <w:bCs/>
          <w:szCs w:val="21"/>
        </w:rPr>
      </w:pPr>
      <w:r>
        <w:rPr>
          <w:rFonts w:hint="eastAsia" w:hAnsi="宋体" w:cs="宋体"/>
          <w:bCs/>
          <w:szCs w:val="21"/>
        </w:rPr>
        <w:t>采购文件相关澄清修正说明；</w:t>
      </w:r>
    </w:p>
    <w:p>
      <w:pPr>
        <w:pStyle w:val="13"/>
        <w:widowControl/>
        <w:numPr>
          <w:ilvl w:val="0"/>
          <w:numId w:val="11"/>
        </w:numPr>
        <w:tabs>
          <w:tab w:val="left" w:pos="540"/>
        </w:tabs>
        <w:spacing w:line="360" w:lineRule="auto"/>
        <w:ind w:left="540" w:hanging="540"/>
        <w:jc w:val="left"/>
        <w:rPr>
          <w:rFonts w:hint="eastAsia" w:hAnsi="宋体" w:cs="宋体"/>
          <w:bCs/>
          <w:szCs w:val="21"/>
        </w:rPr>
      </w:pPr>
      <w:r>
        <w:rPr>
          <w:rFonts w:hint="eastAsia" w:hAnsi="宋体" w:cs="宋体"/>
          <w:bCs/>
          <w:szCs w:val="21"/>
        </w:rPr>
        <w:t>已标价工程量清单或预算书；</w:t>
      </w:r>
    </w:p>
    <w:p>
      <w:pPr>
        <w:pStyle w:val="13"/>
        <w:widowControl/>
        <w:numPr>
          <w:ilvl w:val="0"/>
          <w:numId w:val="11"/>
        </w:numPr>
        <w:tabs>
          <w:tab w:val="left" w:pos="540"/>
        </w:tabs>
        <w:spacing w:line="360" w:lineRule="auto"/>
        <w:ind w:left="540" w:hanging="540"/>
        <w:jc w:val="left"/>
        <w:rPr>
          <w:rFonts w:hint="eastAsia" w:hAnsi="宋体" w:cs="宋体"/>
          <w:bCs/>
          <w:szCs w:val="21"/>
        </w:rPr>
      </w:pPr>
      <w:r>
        <w:rPr>
          <w:rFonts w:hint="eastAsia" w:hAnsi="宋体" w:cs="宋体"/>
          <w:bCs/>
          <w:szCs w:val="21"/>
        </w:rPr>
        <w:t>标准、规范及有关技术文件；</w:t>
      </w:r>
    </w:p>
    <w:p>
      <w:pPr>
        <w:spacing w:line="360" w:lineRule="auto"/>
        <w:rPr>
          <w:rFonts w:hint="eastAsia" w:ascii="宋体" w:hAnsi="宋体" w:cs="宋体"/>
          <w:b/>
          <w:bCs/>
          <w:szCs w:val="21"/>
        </w:rPr>
      </w:pPr>
      <w:bookmarkStart w:id="588" w:name="_Toc165278944"/>
      <w:r>
        <w:rPr>
          <w:rFonts w:hint="eastAsia" w:ascii="宋体" w:hAnsi="宋体" w:cs="宋体"/>
          <w:b/>
          <w:bCs/>
          <w:color w:val="000000"/>
          <w:szCs w:val="21"/>
          <w:highlight w:val="white"/>
        </w:rPr>
        <w:t>七、付款方式：</w:t>
      </w:r>
    </w:p>
    <w:p>
      <w:pPr>
        <w:pStyle w:val="13"/>
        <w:widowControl/>
        <w:numPr>
          <w:ilvl w:val="0"/>
          <w:numId w:val="12"/>
        </w:numPr>
        <w:tabs>
          <w:tab w:val="left" w:pos="540"/>
        </w:tabs>
        <w:spacing w:line="360" w:lineRule="auto"/>
        <w:ind w:left="540" w:hanging="540"/>
        <w:jc w:val="left"/>
        <w:rPr>
          <w:rFonts w:hint="eastAsia" w:ascii="宋体" w:hAnsi="宋体" w:eastAsia="宋体" w:cs="宋体"/>
          <w:bCs/>
          <w:szCs w:val="21"/>
          <w:highlight w:val="none"/>
          <w:lang w:eastAsia="zh-CN"/>
        </w:rPr>
      </w:pPr>
      <w:r>
        <w:rPr>
          <w:rFonts w:hint="eastAsia" w:ascii="宋体" w:hAnsi="宋体" w:eastAsia="宋体" w:cs="宋体"/>
          <w:bCs/>
          <w:szCs w:val="21"/>
          <w:highlight w:val="none"/>
          <w:lang w:eastAsia="zh-CN"/>
        </w:rPr>
        <w:t>合同生效</w:t>
      </w:r>
      <w:r>
        <w:rPr>
          <w:rFonts w:hint="eastAsia" w:ascii="宋体" w:hAnsi="宋体" w:eastAsia="宋体" w:cs="宋体"/>
          <w:bCs/>
          <w:szCs w:val="21"/>
          <w:highlight w:val="none"/>
          <w:lang w:val="en-US" w:eastAsia="zh-CN"/>
        </w:rPr>
        <w:t>后，</w:t>
      </w:r>
      <w:r>
        <w:rPr>
          <w:rFonts w:hint="eastAsia" w:ascii="宋体" w:hAnsi="宋体" w:eastAsia="宋体" w:cs="宋体"/>
          <w:bCs/>
          <w:szCs w:val="21"/>
          <w:highlight w:val="none"/>
          <w:lang w:eastAsia="zh-CN"/>
        </w:rPr>
        <w:t>工程安装调试完毕并交付验收合格，且结算审核完成，结算价经双方确认后，支付至结算总价的</w:t>
      </w:r>
      <w:r>
        <w:rPr>
          <w:rFonts w:hint="eastAsia" w:ascii="宋体" w:hAnsi="宋体" w:eastAsia="宋体" w:cs="宋体"/>
          <w:bCs/>
          <w:szCs w:val="21"/>
          <w:highlight w:val="none"/>
          <w:lang w:val="en-US" w:eastAsia="zh-CN"/>
        </w:rPr>
        <w:t>100</w:t>
      </w:r>
      <w:r>
        <w:rPr>
          <w:rFonts w:hint="eastAsia" w:ascii="宋体" w:hAnsi="宋体" w:eastAsia="宋体" w:cs="宋体"/>
          <w:bCs/>
          <w:szCs w:val="21"/>
          <w:highlight w:val="none"/>
          <w:lang w:eastAsia="zh-CN"/>
        </w:rPr>
        <w:t>%。</w:t>
      </w:r>
    </w:p>
    <w:p>
      <w:pPr>
        <w:pStyle w:val="13"/>
        <w:widowControl/>
        <w:numPr>
          <w:ilvl w:val="0"/>
          <w:numId w:val="12"/>
        </w:numPr>
        <w:tabs>
          <w:tab w:val="left" w:pos="540"/>
        </w:tabs>
        <w:spacing w:line="360" w:lineRule="auto"/>
        <w:ind w:left="540" w:hanging="540"/>
        <w:jc w:val="left"/>
        <w:rPr>
          <w:rFonts w:hint="eastAsia" w:ascii="宋体" w:hAnsi="宋体" w:eastAsia="宋体" w:cs="宋体"/>
          <w:bCs/>
          <w:szCs w:val="21"/>
          <w:highlight w:val="none"/>
          <w:lang w:eastAsia="zh-CN"/>
        </w:rPr>
      </w:pPr>
      <w:r>
        <w:rPr>
          <w:rFonts w:hint="eastAsia" w:ascii="宋体" w:hAnsi="宋体" w:eastAsia="宋体" w:cs="宋体"/>
          <w:bCs/>
          <w:szCs w:val="21"/>
          <w:highlight w:val="none"/>
          <w:lang w:eastAsia="zh-CN"/>
        </w:rPr>
        <w:t>工程最终结算价格以</w:t>
      </w:r>
      <w:r>
        <w:rPr>
          <w:rFonts w:hint="eastAsia" w:ascii="宋体" w:hAnsi="宋体" w:eastAsia="宋体" w:cs="宋体"/>
          <w:bCs/>
          <w:szCs w:val="21"/>
          <w:highlight w:val="none"/>
          <w:lang w:val="en-US" w:eastAsia="zh-CN"/>
        </w:rPr>
        <w:t>甲方</w:t>
      </w:r>
      <w:r>
        <w:rPr>
          <w:rFonts w:hint="eastAsia" w:ascii="宋体" w:hAnsi="宋体" w:eastAsia="宋体" w:cs="宋体"/>
          <w:bCs/>
          <w:szCs w:val="21"/>
          <w:highlight w:val="none"/>
          <w:lang w:eastAsia="zh-CN"/>
        </w:rPr>
        <w:t>委托的第三方出具的造价审定书为准。</w:t>
      </w:r>
    </w:p>
    <w:p>
      <w:pPr>
        <w:pStyle w:val="13"/>
        <w:widowControl/>
        <w:numPr>
          <w:ilvl w:val="0"/>
          <w:numId w:val="12"/>
        </w:numPr>
        <w:tabs>
          <w:tab w:val="left" w:pos="540"/>
        </w:tabs>
        <w:spacing w:line="360" w:lineRule="auto"/>
        <w:ind w:left="540" w:hanging="540"/>
        <w:jc w:val="left"/>
        <w:rPr>
          <w:rFonts w:hint="eastAsia" w:ascii="宋体" w:hAnsi="宋体" w:eastAsia="宋体" w:cs="宋体"/>
          <w:bCs/>
          <w:szCs w:val="21"/>
          <w:highlight w:val="none"/>
          <w:lang w:eastAsia="zh-CN"/>
        </w:rPr>
      </w:pPr>
      <w:r>
        <w:rPr>
          <w:rFonts w:hint="eastAsia" w:ascii="宋体" w:hAnsi="宋体" w:eastAsia="宋体" w:cs="宋体"/>
          <w:bCs/>
          <w:szCs w:val="21"/>
          <w:highlight w:val="none"/>
          <w:lang w:eastAsia="zh-CN"/>
        </w:rPr>
        <w:t>工程竣工报告经</w:t>
      </w:r>
      <w:r>
        <w:rPr>
          <w:rFonts w:hint="eastAsia" w:ascii="宋体" w:hAnsi="宋体" w:eastAsia="宋体" w:cs="宋体"/>
          <w:bCs/>
          <w:szCs w:val="21"/>
          <w:highlight w:val="none"/>
          <w:lang w:val="en-US" w:eastAsia="zh-CN"/>
        </w:rPr>
        <w:t>甲方</w:t>
      </w:r>
      <w:r>
        <w:rPr>
          <w:rFonts w:hint="eastAsia" w:ascii="宋体" w:hAnsi="宋体" w:eastAsia="宋体" w:cs="宋体"/>
          <w:bCs/>
          <w:szCs w:val="21"/>
          <w:highlight w:val="none"/>
          <w:lang w:eastAsia="zh-CN"/>
        </w:rPr>
        <w:t>认可后28天内，</w:t>
      </w:r>
      <w:r>
        <w:rPr>
          <w:rFonts w:hint="eastAsia" w:ascii="宋体" w:hAnsi="宋体" w:eastAsia="宋体" w:cs="宋体"/>
          <w:bCs/>
          <w:szCs w:val="21"/>
          <w:highlight w:val="none"/>
          <w:lang w:val="en-US" w:eastAsia="zh-CN"/>
        </w:rPr>
        <w:t>乙方</w:t>
      </w:r>
      <w:r>
        <w:rPr>
          <w:rFonts w:hint="eastAsia" w:ascii="宋体" w:hAnsi="宋体" w:eastAsia="宋体" w:cs="宋体"/>
          <w:bCs/>
          <w:szCs w:val="21"/>
          <w:highlight w:val="none"/>
          <w:lang w:eastAsia="zh-CN"/>
        </w:rPr>
        <w:t>向</w:t>
      </w:r>
      <w:r>
        <w:rPr>
          <w:rFonts w:hint="eastAsia" w:ascii="宋体" w:hAnsi="宋体" w:eastAsia="宋体" w:cs="宋体"/>
          <w:bCs/>
          <w:szCs w:val="21"/>
          <w:highlight w:val="none"/>
          <w:lang w:val="en-US" w:eastAsia="zh-CN"/>
        </w:rPr>
        <w:t>甲方</w:t>
      </w:r>
      <w:r>
        <w:rPr>
          <w:rFonts w:hint="eastAsia" w:ascii="宋体" w:hAnsi="宋体" w:eastAsia="宋体" w:cs="宋体"/>
          <w:bCs/>
          <w:szCs w:val="21"/>
          <w:highlight w:val="none"/>
          <w:lang w:eastAsia="zh-CN"/>
        </w:rPr>
        <w:t>递交竣工结算报告及完整的结算资料，双方按照本合同约定的合同价款内容及相关价款调整方式，进行工程竣工结算。</w:t>
      </w:r>
    </w:p>
    <w:p>
      <w:pPr>
        <w:pStyle w:val="13"/>
        <w:widowControl/>
        <w:numPr>
          <w:ilvl w:val="0"/>
          <w:numId w:val="12"/>
        </w:numPr>
        <w:tabs>
          <w:tab w:val="left" w:pos="540"/>
        </w:tabs>
        <w:spacing w:line="360" w:lineRule="auto"/>
        <w:ind w:left="540" w:hanging="540"/>
        <w:jc w:val="left"/>
        <w:rPr>
          <w:rFonts w:hint="eastAsia" w:ascii="宋体" w:hAnsi="宋体" w:eastAsia="宋体" w:cs="宋体"/>
          <w:bCs/>
          <w:szCs w:val="21"/>
          <w:highlight w:val="none"/>
          <w:lang w:eastAsia="zh-CN"/>
        </w:rPr>
      </w:pPr>
      <w:r>
        <w:rPr>
          <w:rFonts w:hint="eastAsia" w:ascii="宋体" w:hAnsi="宋体" w:eastAsia="宋体" w:cs="宋体"/>
          <w:bCs/>
          <w:szCs w:val="21"/>
          <w:highlight w:val="none"/>
          <w:lang w:val="en-US" w:eastAsia="zh-CN"/>
        </w:rPr>
        <w:t>甲方</w:t>
      </w:r>
      <w:r>
        <w:rPr>
          <w:rFonts w:hint="eastAsia" w:ascii="宋体" w:hAnsi="宋体" w:eastAsia="宋体" w:cs="宋体"/>
          <w:bCs/>
          <w:szCs w:val="21"/>
          <w:highlight w:val="none"/>
          <w:lang w:eastAsia="zh-CN"/>
        </w:rPr>
        <w:t>收到</w:t>
      </w:r>
      <w:r>
        <w:rPr>
          <w:rFonts w:hint="eastAsia" w:ascii="宋体" w:hAnsi="宋体" w:eastAsia="宋体" w:cs="宋体"/>
          <w:bCs/>
          <w:szCs w:val="21"/>
          <w:highlight w:val="none"/>
          <w:lang w:val="en-US" w:eastAsia="zh-CN"/>
        </w:rPr>
        <w:t>乙方</w:t>
      </w:r>
      <w:r>
        <w:rPr>
          <w:rFonts w:hint="eastAsia" w:ascii="宋体" w:hAnsi="宋体" w:eastAsia="宋体" w:cs="宋体"/>
          <w:bCs/>
          <w:szCs w:val="21"/>
          <w:highlight w:val="none"/>
          <w:lang w:eastAsia="zh-CN"/>
        </w:rPr>
        <w:t>递交的竣工结算报告及结算资料后30天内进行审核，出具最终工程造价审定书。</w:t>
      </w:r>
      <w:r>
        <w:rPr>
          <w:rFonts w:hint="eastAsia" w:ascii="宋体" w:hAnsi="宋体" w:eastAsia="宋体" w:cs="宋体"/>
          <w:bCs/>
          <w:szCs w:val="21"/>
          <w:highlight w:val="none"/>
          <w:lang w:val="en-US" w:eastAsia="zh-CN"/>
        </w:rPr>
        <w:t>甲方</w:t>
      </w:r>
      <w:r>
        <w:rPr>
          <w:rFonts w:hint="eastAsia" w:ascii="宋体" w:hAnsi="宋体" w:eastAsia="宋体" w:cs="宋体"/>
          <w:bCs/>
          <w:szCs w:val="21"/>
          <w:highlight w:val="none"/>
          <w:lang w:eastAsia="zh-CN"/>
        </w:rPr>
        <w:t>收到竣工结算价款后按造价审定书结算价支付工程其余款项。</w:t>
      </w:r>
    </w:p>
    <w:p>
      <w:pPr>
        <w:pStyle w:val="13"/>
        <w:widowControl/>
        <w:numPr>
          <w:ilvl w:val="0"/>
          <w:numId w:val="0"/>
        </w:numPr>
        <w:spacing w:line="360" w:lineRule="auto"/>
        <w:ind w:leftChars="0"/>
        <w:jc w:val="left"/>
        <w:rPr>
          <w:rFonts w:hint="eastAsia" w:hAnsi="宋体" w:cs="宋体"/>
          <w:bCs/>
          <w:sz w:val="21"/>
          <w:szCs w:val="21"/>
          <w:lang w:eastAsia="zh-CN"/>
        </w:rPr>
      </w:pPr>
      <w:r>
        <w:rPr>
          <w:rFonts w:hint="eastAsia" w:hAnsi="宋体" w:cs="宋体"/>
          <w:bCs/>
          <w:sz w:val="21"/>
          <w:szCs w:val="21"/>
          <w:lang w:eastAsia="zh-CN"/>
        </w:rPr>
        <w:t>注：</w:t>
      </w:r>
    </w:p>
    <w:p>
      <w:pPr>
        <w:pStyle w:val="13"/>
        <w:widowControl/>
        <w:numPr>
          <w:ilvl w:val="0"/>
          <w:numId w:val="13"/>
        </w:numPr>
        <w:spacing w:line="360" w:lineRule="auto"/>
        <w:ind w:leftChars="0"/>
        <w:jc w:val="left"/>
        <w:rPr>
          <w:rFonts w:hint="eastAsia" w:hAnsi="宋体" w:cs="宋体"/>
          <w:bCs/>
          <w:sz w:val="21"/>
          <w:szCs w:val="21"/>
          <w:lang w:eastAsia="zh-CN"/>
        </w:rPr>
      </w:pPr>
      <w:r>
        <w:rPr>
          <w:rFonts w:hint="eastAsia" w:ascii="宋体" w:hAnsi="宋体" w:cs="宋体"/>
          <w:color w:val="000000"/>
          <w:szCs w:val="21"/>
          <w:highlight w:val="white"/>
          <w:lang w:eastAsia="zh-CN"/>
        </w:rPr>
        <w:t>承包人</w:t>
      </w:r>
      <w:r>
        <w:rPr>
          <w:rFonts w:hint="eastAsia" w:hAnsi="宋体" w:cs="宋体"/>
          <w:bCs/>
          <w:sz w:val="21"/>
          <w:szCs w:val="21"/>
          <w:lang w:eastAsia="zh-CN"/>
        </w:rPr>
        <w:t>每次申请付款前应向</w:t>
      </w:r>
      <w:r>
        <w:rPr>
          <w:rFonts w:hint="eastAsia" w:ascii="宋体" w:hAnsi="宋体" w:cs="宋体"/>
          <w:color w:val="000000"/>
          <w:szCs w:val="21"/>
          <w:highlight w:val="white"/>
          <w:lang w:eastAsia="zh-CN"/>
        </w:rPr>
        <w:t>发包人</w:t>
      </w:r>
      <w:r>
        <w:rPr>
          <w:rFonts w:hint="eastAsia" w:hAnsi="宋体" w:cs="宋体"/>
          <w:bCs/>
          <w:sz w:val="21"/>
          <w:szCs w:val="21"/>
          <w:lang w:eastAsia="zh-CN"/>
        </w:rPr>
        <w:t>提供依法纳税的发票。</w:t>
      </w:r>
    </w:p>
    <w:p>
      <w:pPr>
        <w:pStyle w:val="13"/>
        <w:widowControl/>
        <w:numPr>
          <w:ilvl w:val="0"/>
          <w:numId w:val="13"/>
        </w:numPr>
        <w:spacing w:line="360" w:lineRule="auto"/>
        <w:ind w:leftChars="0"/>
        <w:jc w:val="left"/>
        <w:rPr>
          <w:rFonts w:hint="eastAsia" w:hAnsi="宋体" w:cs="宋体"/>
          <w:bCs/>
          <w:sz w:val="21"/>
          <w:szCs w:val="21"/>
          <w:lang w:eastAsia="zh-CN"/>
        </w:rPr>
      </w:pPr>
      <w:r>
        <w:rPr>
          <w:rFonts w:hint="eastAsia" w:hAnsi="宋体" w:cs="宋体"/>
          <w:bCs/>
          <w:sz w:val="21"/>
          <w:szCs w:val="21"/>
          <w:lang w:eastAsia="zh-CN"/>
        </w:rPr>
        <w:t>合同款以转账方式转入</w:t>
      </w:r>
      <w:r>
        <w:rPr>
          <w:rFonts w:hint="eastAsia" w:ascii="宋体" w:hAnsi="宋体" w:cs="宋体"/>
          <w:color w:val="000000"/>
          <w:szCs w:val="21"/>
          <w:highlight w:val="white"/>
          <w:lang w:eastAsia="zh-CN"/>
        </w:rPr>
        <w:t>承包人</w:t>
      </w:r>
      <w:r>
        <w:rPr>
          <w:rFonts w:hint="eastAsia" w:hAnsi="宋体" w:cs="宋体"/>
          <w:bCs/>
          <w:sz w:val="21"/>
          <w:szCs w:val="21"/>
          <w:lang w:eastAsia="zh-CN"/>
        </w:rPr>
        <w:t>的银行账户。</w:t>
      </w:r>
    </w:p>
    <w:p>
      <w:pPr>
        <w:pStyle w:val="13"/>
        <w:widowControl/>
        <w:numPr>
          <w:ilvl w:val="0"/>
          <w:numId w:val="13"/>
        </w:numPr>
        <w:spacing w:line="360" w:lineRule="auto"/>
        <w:ind w:leftChars="0"/>
        <w:jc w:val="left"/>
        <w:rPr>
          <w:rFonts w:hint="eastAsia" w:hAnsi="宋体" w:cs="宋体"/>
          <w:bCs/>
          <w:sz w:val="21"/>
          <w:szCs w:val="21"/>
          <w:lang w:val="en-US" w:eastAsia="zh-CN"/>
        </w:rPr>
      </w:pPr>
      <w:r>
        <w:rPr>
          <w:rFonts w:hint="eastAsia" w:hAnsi="宋体" w:cs="宋体"/>
          <w:bCs/>
          <w:sz w:val="21"/>
          <w:szCs w:val="21"/>
          <w:lang w:eastAsia="zh-CN"/>
        </w:rPr>
        <w:t>收款方、出具发票方、合同承包人均必须与中标供应商名称一致。</w:t>
      </w:r>
    </w:p>
    <w:p>
      <w:pPr>
        <w:pStyle w:val="13"/>
        <w:widowControl/>
        <w:numPr>
          <w:ilvl w:val="0"/>
          <w:numId w:val="13"/>
        </w:numPr>
        <w:spacing w:line="360" w:lineRule="auto"/>
        <w:ind w:leftChars="0"/>
        <w:jc w:val="left"/>
        <w:rPr>
          <w:rFonts w:hint="eastAsia" w:hAnsi="宋体" w:cs="宋体"/>
          <w:bCs/>
          <w:sz w:val="21"/>
          <w:szCs w:val="21"/>
          <w:lang w:val="en-US" w:eastAsia="zh-CN"/>
        </w:rPr>
      </w:pPr>
      <w:r>
        <w:rPr>
          <w:rFonts w:hint="eastAsia" w:ascii="宋体" w:hAnsi="宋体" w:cs="宋体"/>
          <w:color w:val="000000"/>
          <w:szCs w:val="21"/>
          <w:highlight w:val="white"/>
          <w:lang w:eastAsia="zh-CN"/>
        </w:rPr>
        <w:t>发包人</w:t>
      </w:r>
      <w:r>
        <w:rPr>
          <w:rFonts w:hint="eastAsia" w:hAnsi="宋体" w:cs="宋体"/>
          <w:bCs/>
          <w:sz w:val="21"/>
          <w:szCs w:val="21"/>
          <w:lang w:val="en-US" w:eastAsia="zh-CN"/>
        </w:rPr>
        <w:t>签署验收确认书及申办每期拨款手续均可在7个工作日内完成，属于合同款是市财政局国库支付中心直接支付给</w:t>
      </w:r>
      <w:r>
        <w:rPr>
          <w:rFonts w:hint="eastAsia" w:ascii="宋体" w:hAnsi="宋体" w:cs="宋体"/>
          <w:color w:val="000000"/>
          <w:szCs w:val="21"/>
          <w:highlight w:val="white"/>
          <w:lang w:eastAsia="zh-CN"/>
        </w:rPr>
        <w:t>承包人</w:t>
      </w:r>
      <w:r>
        <w:rPr>
          <w:rFonts w:hint="eastAsia" w:hAnsi="宋体" w:cs="宋体"/>
          <w:bCs/>
          <w:sz w:val="21"/>
          <w:szCs w:val="21"/>
          <w:lang w:val="en-US" w:eastAsia="zh-CN"/>
        </w:rPr>
        <w:t>的项目，“付款”是指</w:t>
      </w:r>
      <w:r>
        <w:rPr>
          <w:rFonts w:hint="eastAsia" w:ascii="宋体" w:hAnsi="宋体" w:cs="宋体"/>
          <w:color w:val="000000"/>
          <w:szCs w:val="21"/>
          <w:highlight w:val="white"/>
          <w:lang w:eastAsia="zh-CN"/>
        </w:rPr>
        <w:t>发包人</w:t>
      </w:r>
      <w:r>
        <w:rPr>
          <w:rFonts w:hint="eastAsia" w:hAnsi="宋体" w:cs="宋体"/>
          <w:bCs/>
          <w:sz w:val="21"/>
          <w:szCs w:val="21"/>
          <w:lang w:val="en-US" w:eastAsia="zh-CN"/>
        </w:rPr>
        <w:t>向主管部门发出申请付款文件。</w:t>
      </w:r>
    </w:p>
    <w:p>
      <w:pPr>
        <w:pStyle w:val="13"/>
        <w:widowControl/>
        <w:numPr>
          <w:ilvl w:val="0"/>
          <w:numId w:val="13"/>
        </w:numPr>
        <w:spacing w:line="360" w:lineRule="auto"/>
        <w:ind w:leftChars="0"/>
        <w:jc w:val="left"/>
        <w:rPr>
          <w:rFonts w:hint="eastAsia" w:hAnsi="宋体" w:cs="宋体"/>
          <w:bCs/>
          <w:sz w:val="21"/>
          <w:szCs w:val="21"/>
          <w:lang w:val="en-US" w:eastAsia="zh-CN"/>
        </w:rPr>
      </w:pPr>
      <w:r>
        <w:rPr>
          <w:rFonts w:hint="eastAsia" w:ascii="宋体" w:hAnsi="宋体" w:cs="宋体"/>
          <w:color w:val="000000"/>
          <w:szCs w:val="21"/>
          <w:highlight w:val="white"/>
          <w:lang w:eastAsia="zh-CN"/>
        </w:rPr>
        <w:t>承包人</w:t>
      </w:r>
      <w:r>
        <w:rPr>
          <w:rFonts w:hint="eastAsia" w:hAnsi="宋体" w:cs="宋体"/>
          <w:bCs/>
          <w:sz w:val="21"/>
          <w:szCs w:val="21"/>
          <w:lang w:val="en-US" w:eastAsia="zh-CN"/>
        </w:rPr>
        <w:t>应理解</w:t>
      </w:r>
      <w:r>
        <w:rPr>
          <w:rFonts w:hint="eastAsia" w:ascii="宋体" w:hAnsi="宋体" w:cs="宋体"/>
          <w:color w:val="000000"/>
          <w:szCs w:val="21"/>
          <w:highlight w:val="white"/>
          <w:lang w:eastAsia="zh-CN"/>
        </w:rPr>
        <w:t>发包人</w:t>
      </w:r>
      <w:r>
        <w:rPr>
          <w:rFonts w:hint="eastAsia" w:hAnsi="宋体" w:cs="宋体"/>
          <w:bCs/>
          <w:sz w:val="21"/>
          <w:szCs w:val="21"/>
          <w:lang w:val="en-US" w:eastAsia="zh-CN"/>
        </w:rPr>
        <w:t>付款的相关程序，因</w:t>
      </w:r>
      <w:r>
        <w:rPr>
          <w:rFonts w:hint="eastAsia" w:ascii="宋体" w:hAnsi="宋体" w:cs="宋体"/>
          <w:color w:val="000000"/>
          <w:szCs w:val="21"/>
          <w:highlight w:val="white"/>
          <w:lang w:eastAsia="zh-CN"/>
        </w:rPr>
        <w:t>发包人</w:t>
      </w:r>
      <w:r>
        <w:rPr>
          <w:rFonts w:hint="eastAsia" w:hAnsi="宋体" w:cs="宋体"/>
          <w:bCs/>
          <w:sz w:val="21"/>
          <w:szCs w:val="21"/>
          <w:lang w:val="en-US" w:eastAsia="zh-CN"/>
        </w:rPr>
        <w:t>使用的是财政资金，</w:t>
      </w:r>
      <w:r>
        <w:rPr>
          <w:rFonts w:hint="eastAsia" w:ascii="宋体" w:hAnsi="宋体" w:cs="宋体"/>
          <w:color w:val="000000"/>
          <w:szCs w:val="21"/>
          <w:highlight w:val="white"/>
          <w:lang w:eastAsia="zh-CN"/>
        </w:rPr>
        <w:t>发包人</w:t>
      </w:r>
      <w:r>
        <w:rPr>
          <w:rFonts w:hint="eastAsia" w:hAnsi="宋体" w:cs="宋体"/>
          <w:bCs/>
          <w:sz w:val="21"/>
          <w:szCs w:val="21"/>
          <w:lang w:val="en-US" w:eastAsia="zh-CN"/>
        </w:rPr>
        <w:t>在前款规定的付款时间为向财政支付部门提出办理财政支付申请手续的时间，不含财政支付部门审核的时间，</w:t>
      </w:r>
      <w:r>
        <w:rPr>
          <w:rFonts w:hint="eastAsia" w:ascii="宋体" w:hAnsi="宋体" w:cs="宋体"/>
          <w:color w:val="000000"/>
          <w:szCs w:val="21"/>
          <w:highlight w:val="white"/>
          <w:lang w:eastAsia="zh-CN"/>
        </w:rPr>
        <w:t>发包人</w:t>
      </w:r>
      <w:r>
        <w:rPr>
          <w:rFonts w:hint="eastAsia" w:hAnsi="宋体" w:cs="宋体"/>
          <w:bCs/>
          <w:sz w:val="21"/>
          <w:szCs w:val="21"/>
          <w:lang w:val="en-US" w:eastAsia="zh-CN"/>
        </w:rPr>
        <w:t>在约定期限内向财政支付部门发出付款申请即视为</w:t>
      </w:r>
      <w:r>
        <w:rPr>
          <w:rFonts w:hint="eastAsia" w:ascii="宋体" w:hAnsi="宋体" w:cs="宋体"/>
          <w:color w:val="000000"/>
          <w:szCs w:val="21"/>
          <w:highlight w:val="white"/>
          <w:lang w:eastAsia="zh-CN"/>
        </w:rPr>
        <w:t>发包人</w:t>
      </w:r>
      <w:r>
        <w:rPr>
          <w:rFonts w:hint="eastAsia" w:hAnsi="宋体" w:cs="宋体"/>
          <w:bCs/>
          <w:sz w:val="21"/>
          <w:szCs w:val="21"/>
          <w:lang w:val="en-US" w:eastAsia="zh-CN"/>
        </w:rPr>
        <w:t>已按期支付。因财政支付审批流程及办理手续而造成项目支付进度有所推延，</w:t>
      </w:r>
      <w:r>
        <w:rPr>
          <w:rFonts w:hint="eastAsia" w:ascii="宋体" w:hAnsi="宋体" w:cs="宋体"/>
          <w:color w:val="000000"/>
          <w:szCs w:val="21"/>
          <w:highlight w:val="white"/>
          <w:lang w:eastAsia="zh-CN"/>
        </w:rPr>
        <w:t>发包人</w:t>
      </w:r>
      <w:r>
        <w:rPr>
          <w:rFonts w:hint="eastAsia" w:hAnsi="宋体" w:cs="宋体"/>
          <w:bCs/>
          <w:sz w:val="21"/>
          <w:szCs w:val="21"/>
          <w:lang w:val="en-US" w:eastAsia="zh-CN"/>
        </w:rPr>
        <w:t>不承担逾期付款违约责任。</w:t>
      </w:r>
    </w:p>
    <w:p>
      <w:pPr>
        <w:pStyle w:val="13"/>
        <w:widowControl/>
        <w:numPr>
          <w:ilvl w:val="0"/>
          <w:numId w:val="13"/>
        </w:numPr>
        <w:spacing w:line="360" w:lineRule="auto"/>
        <w:ind w:leftChars="0"/>
        <w:jc w:val="left"/>
        <w:rPr>
          <w:rFonts w:hint="eastAsia" w:hAnsi="宋体" w:cs="宋体"/>
          <w:bCs/>
          <w:sz w:val="21"/>
          <w:szCs w:val="21"/>
        </w:rPr>
      </w:pPr>
      <w:r>
        <w:rPr>
          <w:rFonts w:hint="eastAsia" w:hAnsi="宋体" w:cs="宋体"/>
          <w:bCs/>
          <w:sz w:val="21"/>
          <w:szCs w:val="21"/>
          <w:lang w:val="en-US" w:eastAsia="zh-CN"/>
        </w:rPr>
        <w:t>因政府财政部门跨年国库关闸、年底封账，不能按约定时间办理支付进度款，</w:t>
      </w:r>
      <w:r>
        <w:rPr>
          <w:rFonts w:hint="eastAsia" w:ascii="宋体" w:hAnsi="宋体" w:cs="宋体"/>
          <w:color w:val="000000"/>
          <w:szCs w:val="21"/>
          <w:highlight w:val="white"/>
          <w:lang w:eastAsia="zh-CN"/>
        </w:rPr>
        <w:t>承包人</w:t>
      </w:r>
      <w:r>
        <w:rPr>
          <w:rFonts w:hint="eastAsia" w:hAnsi="宋体" w:cs="宋体"/>
          <w:bCs/>
          <w:sz w:val="21"/>
          <w:szCs w:val="21"/>
          <w:lang w:val="en-US" w:eastAsia="zh-CN"/>
        </w:rPr>
        <w:t>可提前办理申请手续；若因此导致逾期付款，</w:t>
      </w:r>
      <w:r>
        <w:rPr>
          <w:rFonts w:hint="eastAsia" w:ascii="宋体" w:hAnsi="宋体" w:cs="宋体"/>
          <w:color w:val="000000"/>
          <w:szCs w:val="21"/>
          <w:highlight w:val="white"/>
          <w:lang w:eastAsia="zh-CN"/>
        </w:rPr>
        <w:t>发包人</w:t>
      </w:r>
      <w:r>
        <w:rPr>
          <w:rFonts w:hint="eastAsia" w:hAnsi="宋体" w:cs="宋体"/>
          <w:bCs/>
          <w:sz w:val="21"/>
          <w:szCs w:val="21"/>
          <w:lang w:val="en-US" w:eastAsia="zh-CN"/>
        </w:rPr>
        <w:t>不承担逾期付款违约责任。</w:t>
      </w:r>
    </w:p>
    <w:p>
      <w:pPr>
        <w:pStyle w:val="13"/>
        <w:widowControl/>
        <w:numPr>
          <w:ilvl w:val="0"/>
          <w:numId w:val="13"/>
        </w:numPr>
        <w:spacing w:line="360" w:lineRule="auto"/>
        <w:ind w:leftChars="0"/>
        <w:jc w:val="left"/>
        <w:rPr>
          <w:rFonts w:hint="eastAsia" w:hAnsi="宋体" w:cs="宋体"/>
          <w:bCs/>
          <w:sz w:val="21"/>
          <w:szCs w:val="21"/>
        </w:rPr>
      </w:pPr>
      <w:r>
        <w:rPr>
          <w:rFonts w:hint="eastAsia" w:hAnsi="宋体" w:cs="宋体"/>
          <w:bCs/>
          <w:sz w:val="21"/>
          <w:szCs w:val="21"/>
          <w:lang w:val="en-US" w:eastAsia="zh-CN"/>
        </w:rPr>
        <w:t>本合同实施过程中,所发生的一切税费及不可预见费均由</w:t>
      </w:r>
      <w:r>
        <w:rPr>
          <w:rFonts w:hint="eastAsia" w:ascii="宋体" w:hAnsi="宋体" w:cs="宋体"/>
          <w:color w:val="000000"/>
          <w:szCs w:val="21"/>
          <w:highlight w:val="white"/>
          <w:lang w:eastAsia="zh-CN"/>
        </w:rPr>
        <w:t>承包人</w:t>
      </w:r>
      <w:r>
        <w:rPr>
          <w:rFonts w:hint="eastAsia" w:hAnsi="宋体" w:cs="宋体"/>
          <w:bCs/>
          <w:sz w:val="21"/>
          <w:szCs w:val="21"/>
          <w:lang w:val="en-US" w:eastAsia="zh-CN"/>
        </w:rPr>
        <w:t>承担。</w:t>
      </w:r>
    </w:p>
    <w:bookmarkEnd w:id="588"/>
    <w:p>
      <w:pPr>
        <w:spacing w:line="360" w:lineRule="auto"/>
        <w:rPr>
          <w:rFonts w:hint="eastAsia" w:ascii="宋体" w:hAnsi="宋体" w:cs="宋体"/>
          <w:b/>
          <w:szCs w:val="21"/>
        </w:rPr>
      </w:pPr>
      <w:bookmarkStart w:id="589" w:name="_Toc351203487"/>
      <w:bookmarkStart w:id="590" w:name="_Toc281318251"/>
      <w:bookmarkStart w:id="591" w:name="_Toc328743311"/>
      <w:bookmarkStart w:id="592" w:name="_Toc328743159"/>
      <w:bookmarkStart w:id="593" w:name="_Toc281406975"/>
      <w:bookmarkStart w:id="594" w:name="_Toc303674818"/>
      <w:bookmarkStart w:id="595" w:name="_Toc264016680"/>
      <w:bookmarkStart w:id="596" w:name="_Toc303332820"/>
      <w:bookmarkStart w:id="597" w:name="_Toc344377009"/>
      <w:bookmarkStart w:id="598" w:name="_Toc380073163"/>
      <w:bookmarkStart w:id="599" w:name="_Toc263972928"/>
      <w:bookmarkStart w:id="600" w:name="_Toc267292881"/>
      <w:bookmarkStart w:id="601" w:name="_Toc303329384"/>
      <w:bookmarkStart w:id="602" w:name="_Toc267292938"/>
      <w:bookmarkStart w:id="603" w:name="_Toc165278947"/>
      <w:bookmarkStart w:id="604" w:name="_Toc281407038"/>
      <w:bookmarkStart w:id="605" w:name="_Toc267405037"/>
      <w:bookmarkStart w:id="606" w:name="_Toc264009660"/>
      <w:bookmarkStart w:id="607" w:name="_Toc256522982"/>
      <w:bookmarkStart w:id="608" w:name="_Toc380410503"/>
      <w:bookmarkStart w:id="609" w:name="_Toc301446091"/>
      <w:bookmarkStart w:id="610" w:name="_Toc301431248"/>
      <w:bookmarkStart w:id="611" w:name="_Toc281318303"/>
      <w:bookmarkStart w:id="612" w:name="_Toc247360927"/>
      <w:bookmarkStart w:id="613" w:name="_Toc346263608"/>
      <w:r>
        <w:rPr>
          <w:rFonts w:hint="eastAsia" w:ascii="宋体" w:hAnsi="宋体" w:cs="宋体"/>
          <w:b/>
          <w:bCs/>
          <w:color w:val="000000"/>
          <w:szCs w:val="21"/>
          <w:highlight w:val="white"/>
        </w:rPr>
        <w:t>八、</w:t>
      </w:r>
      <w:r>
        <w:rPr>
          <w:rFonts w:hint="eastAsia" w:ascii="宋体" w:hAnsi="宋体" w:cs="宋体"/>
          <w:b/>
          <w:color w:val="000000"/>
          <w:szCs w:val="21"/>
          <w:highlight w:val="white"/>
        </w:rPr>
        <w:t>验收要求</w:t>
      </w:r>
    </w:p>
    <w:p>
      <w:pPr>
        <w:spacing w:line="360" w:lineRule="auto"/>
        <w:ind w:left="420" w:leftChars="200"/>
        <w:rPr>
          <w:rFonts w:hint="eastAsia" w:ascii="宋体" w:hAnsi="宋体" w:cs="宋体"/>
          <w:bCs/>
          <w:szCs w:val="21"/>
        </w:rPr>
      </w:pPr>
      <w:r>
        <w:rPr>
          <w:rFonts w:hint="eastAsia" w:ascii="宋体" w:hAnsi="宋体" w:cs="宋体"/>
          <w:bCs/>
          <w:color w:val="000000"/>
          <w:szCs w:val="21"/>
          <w:highlight w:val="white"/>
        </w:rPr>
        <w:t>承包人须为验收提供必需的一切条件及相关费用，在工程施工完毕后</w:t>
      </w:r>
      <w:r>
        <w:rPr>
          <w:rFonts w:hint="eastAsia" w:ascii="宋体" w:hAnsi="宋体" w:cs="宋体"/>
          <w:bCs/>
          <w:color w:val="000000"/>
          <w:szCs w:val="21"/>
          <w:highlight w:val="white"/>
          <w:lang w:val="en-US" w:eastAsia="zh-CN"/>
        </w:rPr>
        <w:t>5</w:t>
      </w:r>
      <w:r>
        <w:rPr>
          <w:rFonts w:hint="eastAsia" w:ascii="宋体" w:hAnsi="宋体" w:cs="宋体"/>
          <w:bCs/>
          <w:color w:val="000000"/>
          <w:szCs w:val="21"/>
          <w:highlight w:val="white"/>
        </w:rPr>
        <w:t>个工作日内由承包人、发包人、监理单位</w:t>
      </w:r>
      <w:r>
        <w:rPr>
          <w:rFonts w:hint="eastAsia" w:ascii="宋体" w:hAnsi="宋体" w:cs="宋体"/>
          <w:bCs/>
          <w:color w:val="000000"/>
          <w:szCs w:val="21"/>
          <w:highlight w:val="white"/>
          <w:lang w:eastAsia="zh-CN"/>
        </w:rPr>
        <w:t>（如有）</w:t>
      </w:r>
      <w:r>
        <w:rPr>
          <w:rFonts w:hint="eastAsia" w:ascii="宋体" w:hAnsi="宋体" w:cs="宋体"/>
          <w:bCs/>
          <w:color w:val="000000"/>
          <w:szCs w:val="21"/>
          <w:highlight w:val="white"/>
        </w:rPr>
        <w:t>按照国家和广东省以及佛山市建设行政主管部门、公安消防部门的有关规定，共同验收并出具验收确认书。验收交付前的</w:t>
      </w:r>
      <w:r>
        <w:rPr>
          <w:rFonts w:hint="eastAsia" w:ascii="宋体" w:hAnsi="宋体" w:cs="宋体"/>
          <w:bCs/>
          <w:color w:val="000000"/>
          <w:kern w:val="0"/>
          <w:szCs w:val="21"/>
          <w:highlight w:val="white"/>
        </w:rPr>
        <w:t>设备及施工材料在现场的</w:t>
      </w:r>
      <w:r>
        <w:rPr>
          <w:rFonts w:hint="eastAsia" w:ascii="宋体" w:hAnsi="宋体" w:cs="宋体"/>
          <w:bCs/>
          <w:color w:val="000000"/>
          <w:szCs w:val="21"/>
          <w:highlight w:val="white"/>
        </w:rPr>
        <w:t>安全保管责任由承包人承担。承包人在施工过程中应做好原场地及设备的保护工作，并在验收交付使用前对已破坏的场地进行恢复。</w:t>
      </w:r>
    </w:p>
    <w:p>
      <w:pPr>
        <w:spacing w:line="360" w:lineRule="auto"/>
        <w:rPr>
          <w:rFonts w:hint="eastAsia" w:ascii="宋体" w:hAnsi="宋体" w:cs="宋体"/>
          <w:b/>
          <w:bCs/>
          <w:szCs w:val="21"/>
        </w:rPr>
      </w:pPr>
      <w:r>
        <w:rPr>
          <w:rFonts w:hint="eastAsia" w:ascii="宋体" w:hAnsi="宋体" w:cs="宋体"/>
          <w:b/>
          <w:bCs/>
          <w:color w:val="000000"/>
          <w:szCs w:val="21"/>
          <w:highlight w:val="white"/>
        </w:rPr>
        <w:t>九、承诺</w:t>
      </w:r>
      <w:bookmarkEnd w:id="589"/>
    </w:p>
    <w:p>
      <w:pPr>
        <w:pStyle w:val="13"/>
        <w:widowControl/>
        <w:numPr>
          <w:ilvl w:val="0"/>
          <w:numId w:val="14"/>
        </w:numPr>
        <w:spacing w:line="360" w:lineRule="auto"/>
        <w:jc w:val="left"/>
        <w:rPr>
          <w:rFonts w:hint="eastAsia" w:hAnsi="宋体" w:cs="宋体"/>
          <w:bCs/>
          <w:szCs w:val="21"/>
        </w:rPr>
      </w:pPr>
      <w:r>
        <w:rPr>
          <w:rFonts w:hint="eastAsia" w:hAnsi="宋体" w:cs="宋体"/>
          <w:bCs/>
          <w:color w:val="000000"/>
          <w:szCs w:val="21"/>
          <w:highlight w:val="white"/>
        </w:rPr>
        <w:t>发包人承诺按照法律规定履行项目审批手续、筹集工程建设资金并按照合同约定的期限和方式支付合同价款。</w:t>
      </w:r>
    </w:p>
    <w:p>
      <w:pPr>
        <w:pStyle w:val="13"/>
        <w:widowControl/>
        <w:numPr>
          <w:ilvl w:val="0"/>
          <w:numId w:val="14"/>
        </w:numPr>
        <w:spacing w:line="360" w:lineRule="auto"/>
        <w:jc w:val="left"/>
        <w:rPr>
          <w:rFonts w:hint="eastAsia" w:hAnsi="宋体" w:cs="宋体"/>
          <w:bCs/>
          <w:szCs w:val="21"/>
        </w:rPr>
      </w:pPr>
      <w:r>
        <w:rPr>
          <w:rFonts w:hint="eastAsia" w:hAnsi="宋体" w:cs="宋体"/>
          <w:bCs/>
          <w:color w:val="000000"/>
          <w:szCs w:val="21"/>
          <w:highlight w:val="white"/>
        </w:rPr>
        <w:t>承包人承诺按照法律规定及合同约定组织完成工程施工，确保工程质量和安全，不进行转包及违法分包，并在缺陷责任期及保修期内承担相应的工程维修责任。</w:t>
      </w:r>
    </w:p>
    <w:p>
      <w:pPr>
        <w:pStyle w:val="13"/>
        <w:widowControl/>
        <w:numPr>
          <w:ilvl w:val="0"/>
          <w:numId w:val="14"/>
        </w:numPr>
        <w:spacing w:line="360" w:lineRule="auto"/>
        <w:jc w:val="left"/>
        <w:rPr>
          <w:rFonts w:hint="eastAsia" w:hAnsi="宋体" w:cs="宋体"/>
          <w:bCs/>
          <w:szCs w:val="21"/>
        </w:rPr>
      </w:pPr>
      <w:r>
        <w:rPr>
          <w:rFonts w:hint="eastAsia" w:hAnsi="宋体" w:cs="宋体"/>
          <w:bCs/>
          <w:color w:val="000000"/>
          <w:szCs w:val="21"/>
          <w:highlight w:val="white"/>
        </w:rPr>
        <w:t>发包人和承包人通过竞争性磋商形式签订合同的，双方理解并承诺不再就同一工程另行签订与合同实质性内容相背离的协议。</w:t>
      </w:r>
    </w:p>
    <w:p>
      <w:pPr>
        <w:spacing w:line="360" w:lineRule="auto"/>
        <w:rPr>
          <w:rFonts w:hint="eastAsia" w:ascii="宋体" w:hAnsi="宋体" w:cs="宋体"/>
          <w:b/>
          <w:bCs/>
          <w:szCs w:val="21"/>
        </w:rPr>
      </w:pPr>
      <w:bookmarkStart w:id="614" w:name="_Toc351203488"/>
      <w:r>
        <w:rPr>
          <w:rFonts w:hint="eastAsia" w:ascii="宋体" w:hAnsi="宋体" w:cs="宋体"/>
          <w:b/>
          <w:bCs/>
          <w:color w:val="000000"/>
          <w:szCs w:val="21"/>
          <w:highlight w:val="white"/>
        </w:rPr>
        <w:t>九、词语含义</w:t>
      </w:r>
      <w:bookmarkEnd w:id="614"/>
    </w:p>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本协议书中词语含义与第二部分通用合同条款中赋予的含义相同。</w:t>
      </w:r>
    </w:p>
    <w:p>
      <w:pPr>
        <w:spacing w:line="360" w:lineRule="auto"/>
        <w:rPr>
          <w:rFonts w:hint="eastAsia" w:ascii="宋体" w:hAnsi="宋体" w:cs="宋体"/>
          <w:b/>
          <w:bCs/>
          <w:szCs w:val="21"/>
        </w:rPr>
      </w:pPr>
      <w:r>
        <w:rPr>
          <w:rFonts w:hint="eastAsia" w:ascii="宋体" w:hAnsi="宋体" w:cs="宋体"/>
          <w:b/>
          <w:bCs/>
          <w:color w:val="000000"/>
          <w:szCs w:val="21"/>
          <w:highlight w:val="white"/>
        </w:rPr>
        <w:t>十、违约责任</w:t>
      </w:r>
    </w:p>
    <w:p>
      <w:pPr>
        <w:tabs>
          <w:tab w:val="left" w:pos="540"/>
        </w:tabs>
        <w:spacing w:line="360" w:lineRule="auto"/>
        <w:ind w:left="420" w:hanging="420" w:hangingChars="200"/>
        <w:jc w:val="left"/>
        <w:rPr>
          <w:rFonts w:hint="eastAsia" w:ascii="宋体" w:hAnsi="宋体" w:eastAsia="宋体" w:cs="宋体"/>
          <w:bCs/>
          <w:szCs w:val="21"/>
          <w:lang w:eastAsia="zh-CN"/>
        </w:rPr>
      </w:pPr>
      <w:r>
        <w:rPr>
          <w:rFonts w:hint="eastAsia" w:ascii="宋体" w:hAnsi="宋体" w:cs="宋体"/>
          <w:bCs/>
          <w:color w:val="000000"/>
          <w:szCs w:val="21"/>
          <w:highlight w:val="white"/>
        </w:rPr>
        <w:t>1.   承包人未按要求履行合同义务时，须从违约之日起每日按合同总额的2‰比例向发包人支付违约金，累计不超过合同总额的10%；逾期15日以上时，发包人有权终止合同，由此造成发包人的经济损失由承包人承担。违约金不足以弥补损失的，承包人应按全额赔偿</w:t>
      </w:r>
      <w:r>
        <w:rPr>
          <w:rFonts w:hint="eastAsia" w:ascii="宋体" w:hAnsi="宋体" w:cs="宋体"/>
          <w:bCs/>
          <w:color w:val="000000"/>
          <w:szCs w:val="21"/>
          <w:highlight w:val="white"/>
          <w:lang w:eastAsia="zh-CN"/>
        </w:rPr>
        <w:t>。</w:t>
      </w:r>
    </w:p>
    <w:p>
      <w:pPr>
        <w:tabs>
          <w:tab w:val="left" w:pos="540"/>
        </w:tabs>
        <w:spacing w:line="360" w:lineRule="auto"/>
        <w:ind w:left="420" w:hanging="420" w:hangingChars="200"/>
        <w:jc w:val="left"/>
        <w:rPr>
          <w:rFonts w:hint="eastAsia" w:ascii="宋体" w:hAnsi="宋体" w:cs="宋体"/>
          <w:bCs/>
          <w:szCs w:val="21"/>
        </w:rPr>
      </w:pPr>
      <w:r>
        <w:rPr>
          <w:rFonts w:hint="eastAsia" w:ascii="宋体" w:hAnsi="宋体" w:cs="宋体"/>
          <w:bCs/>
          <w:color w:val="000000"/>
          <w:szCs w:val="21"/>
          <w:highlight w:val="white"/>
        </w:rPr>
        <w:t>2.  发包人未按要求履行合同义务时，或无故拖延验收、付款时，发包人须向承包人支付滞纳金，标准为每日按逾期应付款总额的2‰累计，累计不超过应付款额的10%。</w:t>
      </w:r>
    </w:p>
    <w:p>
      <w:pPr>
        <w:spacing w:line="360" w:lineRule="auto"/>
        <w:rPr>
          <w:rFonts w:hint="eastAsia" w:ascii="宋体" w:hAnsi="宋体" w:cs="宋体"/>
          <w:b/>
          <w:szCs w:val="21"/>
        </w:rPr>
      </w:pPr>
      <w:r>
        <w:rPr>
          <w:rFonts w:hint="eastAsia" w:ascii="宋体" w:hAnsi="宋体" w:cs="宋体"/>
          <w:b/>
          <w:bCs/>
          <w:color w:val="000000"/>
          <w:szCs w:val="21"/>
          <w:highlight w:val="white"/>
        </w:rPr>
        <w:t>十一、</w:t>
      </w:r>
      <w:r>
        <w:rPr>
          <w:rFonts w:hint="eastAsia" w:ascii="宋体" w:hAnsi="宋体" w:cs="宋体"/>
          <w:b/>
          <w:color w:val="000000"/>
          <w:szCs w:val="21"/>
          <w:highlight w:val="white"/>
        </w:rPr>
        <w:t>保密要求</w:t>
      </w:r>
    </w:p>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保密信息的提供时间：除用于本合同目的，未征得发包人书面同意，承包人不得让第三方使用或向第三方转让图纸、规范等由发包人或监理单位提供的文件；</w:t>
      </w:r>
    </w:p>
    <w:p>
      <w:pPr>
        <w:spacing w:line="360" w:lineRule="auto"/>
        <w:rPr>
          <w:rFonts w:hint="eastAsia" w:ascii="宋体" w:hAnsi="宋体" w:cs="宋体"/>
          <w:b/>
          <w:bCs/>
          <w:color w:val="000000"/>
          <w:szCs w:val="21"/>
        </w:rPr>
      </w:pPr>
      <w:bookmarkStart w:id="615" w:name="_Toc393093280"/>
      <w:bookmarkStart w:id="616" w:name="_Toc384819743"/>
      <w:bookmarkStart w:id="617" w:name="_Toc388019510"/>
      <w:bookmarkStart w:id="618" w:name="_Toc394329409"/>
      <w:bookmarkStart w:id="619" w:name="_Toc459727905"/>
      <w:r>
        <w:rPr>
          <w:rFonts w:hint="eastAsia" w:ascii="宋体" w:hAnsi="宋体" w:cs="宋体"/>
          <w:b/>
          <w:bCs/>
          <w:color w:val="000000"/>
          <w:szCs w:val="21"/>
          <w:highlight w:val="white"/>
        </w:rPr>
        <w:t>十二、</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5"/>
      <w:bookmarkEnd w:id="616"/>
      <w:bookmarkEnd w:id="617"/>
      <w:bookmarkEnd w:id="618"/>
      <w:r>
        <w:rPr>
          <w:rFonts w:hint="eastAsia" w:ascii="宋体" w:hAnsi="宋体" w:cs="宋体"/>
          <w:b/>
          <w:bCs/>
          <w:color w:val="000000"/>
          <w:szCs w:val="21"/>
          <w:highlight w:val="white"/>
        </w:rPr>
        <w:t>关于政府采购质押融资贷款</w:t>
      </w:r>
    </w:p>
    <w:p>
      <w:pPr>
        <w:pStyle w:val="47"/>
        <w:numPr>
          <w:ilvl w:val="0"/>
          <w:numId w:val="15"/>
        </w:numPr>
        <w:spacing w:line="360" w:lineRule="auto"/>
        <w:rPr>
          <w:rFonts w:hint="eastAsia" w:ascii="宋体" w:hAnsi="宋体" w:cs="宋体"/>
          <w:color w:val="000000"/>
          <w:szCs w:val="21"/>
        </w:rPr>
      </w:pPr>
      <w:r>
        <w:rPr>
          <w:rFonts w:hint="eastAsia" w:ascii="宋体" w:hAnsi="宋体" w:cs="宋体"/>
          <w:color w:val="000000"/>
          <w:szCs w:val="21"/>
          <w:highlight w:val="white"/>
        </w:rPr>
        <w:t>乙方是否已申请政府采购质押融资贷款（在□打√表示）：□是   □否。</w:t>
      </w:r>
    </w:p>
    <w:p>
      <w:pPr>
        <w:pStyle w:val="47"/>
        <w:numPr>
          <w:ilvl w:val="0"/>
          <w:numId w:val="0"/>
        </w:numPr>
        <w:spacing w:line="360" w:lineRule="auto"/>
        <w:ind w:leftChars="0" w:firstLine="630" w:firstLineChars="300"/>
        <w:rPr>
          <w:rFonts w:hint="eastAsia" w:ascii="宋体" w:hAnsi="宋体" w:cs="宋体"/>
          <w:color w:val="000000"/>
          <w:szCs w:val="21"/>
        </w:rPr>
      </w:pPr>
      <w:r>
        <w:rPr>
          <w:rFonts w:hint="eastAsia" w:ascii="宋体" w:hAnsi="宋体" w:cs="宋体"/>
          <w:color w:val="000000"/>
          <w:szCs w:val="21"/>
          <w:highlight w:val="white"/>
        </w:rPr>
        <w:t>融资银行及联系、联系方式：</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pStyle w:val="47"/>
        <w:numPr>
          <w:ilvl w:val="0"/>
          <w:numId w:val="15"/>
        </w:numPr>
        <w:spacing w:line="360" w:lineRule="auto"/>
        <w:rPr>
          <w:rFonts w:hint="eastAsia" w:ascii="宋体" w:hAnsi="宋体" w:cs="宋体"/>
          <w:color w:val="000000"/>
          <w:szCs w:val="21"/>
        </w:rPr>
      </w:pPr>
      <w:r>
        <w:rPr>
          <w:rFonts w:hint="eastAsia" w:ascii="宋体" w:hAnsi="宋体" w:cs="宋体"/>
          <w:color w:val="000000"/>
          <w:szCs w:val="21"/>
          <w:highlight w:val="white"/>
        </w:rPr>
        <w:t>若乙方已申请政府采购质押融资贷款，其在本合同中登记的银行</w:t>
      </w:r>
      <w:r>
        <w:rPr>
          <w:rFonts w:hint="eastAsia" w:ascii="宋体" w:hAnsi="宋体" w:cs="宋体"/>
          <w:color w:val="000000"/>
          <w:szCs w:val="21"/>
          <w:highlight w:val="white"/>
          <w:lang w:eastAsia="zh-CN"/>
        </w:rPr>
        <w:t>账</w:t>
      </w:r>
      <w:r>
        <w:rPr>
          <w:rFonts w:hint="eastAsia" w:ascii="宋体" w:hAnsi="宋体" w:cs="宋体"/>
          <w:color w:val="000000"/>
          <w:szCs w:val="21"/>
          <w:highlight w:val="white"/>
        </w:rPr>
        <w:t>号为融资银行的唯一收款账号，未获得融资银行同意，乙方不得变更收款账号。</w:t>
      </w:r>
    </w:p>
    <w:p>
      <w:pPr>
        <w:spacing w:line="360" w:lineRule="auto"/>
        <w:rPr>
          <w:rFonts w:hint="eastAsia" w:ascii="宋体" w:hAnsi="宋体" w:cs="宋体"/>
          <w:b/>
          <w:bCs/>
          <w:szCs w:val="21"/>
        </w:rPr>
      </w:pPr>
      <w:r>
        <w:rPr>
          <w:rFonts w:hint="eastAsia" w:ascii="宋体" w:hAnsi="宋体" w:cs="宋体"/>
          <w:b/>
          <w:bCs/>
          <w:color w:val="000000"/>
          <w:szCs w:val="21"/>
          <w:highlight w:val="white"/>
        </w:rPr>
        <w:t>十三、合同生效与合同备案</w:t>
      </w:r>
      <w:bookmarkEnd w:id="619"/>
    </w:p>
    <w:p>
      <w:pPr>
        <w:pStyle w:val="13"/>
        <w:widowControl/>
        <w:numPr>
          <w:ilvl w:val="0"/>
          <w:numId w:val="16"/>
        </w:numPr>
        <w:spacing w:line="360" w:lineRule="auto"/>
        <w:jc w:val="left"/>
        <w:rPr>
          <w:rFonts w:hint="eastAsia" w:hAnsi="宋体" w:cs="宋体"/>
          <w:szCs w:val="21"/>
        </w:rPr>
      </w:pPr>
      <w:r>
        <w:rPr>
          <w:rFonts w:hint="eastAsia" w:hAnsi="宋体" w:cs="宋体"/>
          <w:szCs w:val="21"/>
        </w:rPr>
        <w:t>本合同订立地点：</w:t>
      </w:r>
      <w:r>
        <w:rPr>
          <w:rFonts w:hint="eastAsia" w:hAnsi="宋体" w:cs="宋体"/>
          <w:szCs w:val="21"/>
          <w:u w:val="single"/>
        </w:rPr>
        <w:t xml:space="preserve">  </w:t>
      </w:r>
      <w:r>
        <w:rPr>
          <w:rFonts w:hint="eastAsia" w:hAnsi="宋体" w:cs="宋体"/>
          <w:szCs w:val="21"/>
          <w:u w:val="single"/>
          <w:lang w:eastAsia="zh-CN"/>
        </w:rPr>
        <w:t>佛山市</w:t>
      </w:r>
      <w:r>
        <w:rPr>
          <w:rFonts w:hint="eastAsia" w:hAnsi="宋体" w:cs="宋体"/>
          <w:szCs w:val="21"/>
          <w:u w:val="single"/>
        </w:rPr>
        <w:t xml:space="preserve"> </w:t>
      </w:r>
    </w:p>
    <w:p>
      <w:pPr>
        <w:pStyle w:val="13"/>
        <w:widowControl/>
        <w:numPr>
          <w:ilvl w:val="0"/>
          <w:numId w:val="16"/>
        </w:numPr>
        <w:spacing w:line="360" w:lineRule="auto"/>
        <w:jc w:val="left"/>
        <w:rPr>
          <w:rFonts w:hint="eastAsia" w:hAnsi="宋体" w:cs="宋体"/>
          <w:bCs/>
          <w:szCs w:val="21"/>
        </w:rPr>
      </w:pPr>
      <w:r>
        <w:rPr>
          <w:rFonts w:hint="eastAsia" w:hAnsi="宋体" w:cs="宋体"/>
          <w:bCs/>
          <w:szCs w:val="21"/>
        </w:rPr>
        <w:t>本合同在</w:t>
      </w:r>
      <w:r>
        <w:rPr>
          <w:rFonts w:hint="eastAsia" w:hAnsi="宋体" w:cs="宋体"/>
          <w:szCs w:val="21"/>
        </w:rPr>
        <w:t>发包人与承包人</w:t>
      </w:r>
      <w:r>
        <w:rPr>
          <w:rFonts w:hint="eastAsia" w:hAnsi="宋体" w:cs="宋体"/>
          <w:bCs/>
          <w:szCs w:val="21"/>
        </w:rPr>
        <w:t>双方法人代表或其授权代表签字盖章后生效。</w:t>
      </w:r>
    </w:p>
    <w:p>
      <w:pPr>
        <w:pStyle w:val="13"/>
        <w:widowControl/>
        <w:numPr>
          <w:ilvl w:val="0"/>
          <w:numId w:val="16"/>
        </w:numPr>
        <w:spacing w:line="360" w:lineRule="auto"/>
        <w:jc w:val="left"/>
        <w:rPr>
          <w:rFonts w:hint="eastAsia" w:hAnsi="宋体" w:cs="宋体"/>
          <w:bCs/>
          <w:szCs w:val="21"/>
        </w:rPr>
      </w:pPr>
      <w:r>
        <w:rPr>
          <w:rFonts w:hint="eastAsia" w:hAnsi="宋体" w:cs="宋体"/>
          <w:szCs w:val="21"/>
          <w:highlight w:val="white"/>
          <w:lang w:val="en-GB"/>
        </w:rPr>
        <w:t>自采购合同签订之日起7个工作日内，由甲方按照有关规定将采购合同副本报同级人民政府财政部门（政府采购管理部门）备案。</w:t>
      </w:r>
    </w:p>
    <w:p>
      <w:pPr>
        <w:pStyle w:val="13"/>
        <w:widowControl/>
        <w:numPr>
          <w:ilvl w:val="0"/>
          <w:numId w:val="16"/>
        </w:numPr>
        <w:spacing w:line="360" w:lineRule="auto"/>
        <w:jc w:val="left"/>
        <w:rPr>
          <w:rFonts w:hint="eastAsia" w:hAnsi="宋体" w:cs="宋体"/>
          <w:bCs/>
          <w:szCs w:val="21"/>
        </w:rPr>
      </w:pPr>
      <w:r>
        <w:rPr>
          <w:rFonts w:hint="eastAsia" w:hAnsi="宋体" w:cs="宋体"/>
          <w:bCs/>
          <w:szCs w:val="21"/>
        </w:rPr>
        <w:t>本合同一式</w:t>
      </w:r>
      <w:r>
        <w:rPr>
          <w:rFonts w:hint="eastAsia" w:hAnsi="宋体" w:cs="宋体"/>
          <w:bCs/>
          <w:szCs w:val="21"/>
          <w:u w:val="single"/>
        </w:rPr>
        <w:t xml:space="preserve">    </w:t>
      </w:r>
      <w:r>
        <w:rPr>
          <w:rFonts w:hint="eastAsia" w:hAnsi="宋体" w:cs="宋体"/>
          <w:bCs/>
          <w:szCs w:val="21"/>
        </w:rPr>
        <w:t>份，发包人执</w:t>
      </w:r>
      <w:r>
        <w:rPr>
          <w:rFonts w:hint="eastAsia" w:hAnsi="宋体" w:cs="宋体"/>
          <w:bCs/>
          <w:szCs w:val="21"/>
          <w:u w:val="single"/>
        </w:rPr>
        <w:t xml:space="preserve">   </w:t>
      </w:r>
      <w:r>
        <w:rPr>
          <w:rFonts w:hint="eastAsia" w:hAnsi="宋体" w:cs="宋体"/>
          <w:bCs/>
          <w:szCs w:val="21"/>
        </w:rPr>
        <w:t>份、承包人执</w:t>
      </w:r>
      <w:r>
        <w:rPr>
          <w:rFonts w:hint="eastAsia" w:hAnsi="宋体" w:cs="宋体"/>
          <w:bCs/>
          <w:szCs w:val="21"/>
          <w:u w:val="single"/>
        </w:rPr>
        <w:t xml:space="preserve">   </w:t>
      </w:r>
      <w:r>
        <w:rPr>
          <w:rFonts w:hint="eastAsia" w:hAnsi="宋体" w:cs="宋体"/>
          <w:bCs/>
          <w:szCs w:val="21"/>
        </w:rPr>
        <w:t>份。</w:t>
      </w:r>
    </w:p>
    <w:p>
      <w:pPr>
        <w:pStyle w:val="13"/>
        <w:widowControl/>
        <w:numPr>
          <w:ilvl w:val="0"/>
          <w:numId w:val="16"/>
        </w:numPr>
        <w:spacing w:line="360" w:lineRule="auto"/>
        <w:jc w:val="left"/>
        <w:rPr>
          <w:rFonts w:hint="eastAsia" w:hAnsi="宋体" w:cs="宋体"/>
          <w:bCs/>
          <w:szCs w:val="21"/>
        </w:rPr>
      </w:pPr>
      <w:r>
        <w:rPr>
          <w:rFonts w:hint="eastAsia" w:hAnsi="宋体" w:cs="宋体"/>
          <w:bCs/>
          <w:szCs w:val="21"/>
        </w:rPr>
        <w:t>本合同(含附件)共计</w:t>
      </w:r>
      <w:r>
        <w:rPr>
          <w:rFonts w:hint="eastAsia" w:hAnsi="宋体" w:cs="宋体"/>
          <w:bCs/>
          <w:szCs w:val="21"/>
          <w:u w:val="single"/>
        </w:rPr>
        <w:t xml:space="preserve">    </w:t>
      </w:r>
      <w:r>
        <w:rPr>
          <w:rFonts w:hint="eastAsia" w:hAnsi="宋体" w:cs="宋体"/>
          <w:bCs/>
          <w:szCs w:val="21"/>
        </w:rPr>
        <w:t>页A4纸张，缺页之合同为无效合同。</w:t>
      </w:r>
    </w:p>
    <w:p>
      <w:pPr>
        <w:pStyle w:val="13"/>
        <w:widowControl/>
        <w:numPr>
          <w:ilvl w:val="0"/>
          <w:numId w:val="16"/>
        </w:numPr>
        <w:spacing w:line="360" w:lineRule="auto"/>
        <w:jc w:val="left"/>
        <w:rPr>
          <w:rFonts w:hint="eastAsia" w:hAnsi="宋体" w:cs="宋体"/>
          <w:bCs/>
          <w:szCs w:val="21"/>
        </w:rPr>
      </w:pPr>
      <w:r>
        <w:rPr>
          <w:rFonts w:hint="eastAsia" w:hAnsi="宋体" w:cs="宋体"/>
          <w:color w:val="000000"/>
          <w:szCs w:val="21"/>
          <w:highlight w:val="white"/>
        </w:rPr>
        <w:t>如一方（包括联系人）地址、电话、传真号码有变更，应在变更后3个工作日内书面通知对方联系人或负责人，否则，因此造成的损失由未履行通知义务方承担相应责任。</w:t>
      </w:r>
    </w:p>
    <w:p>
      <w:pPr>
        <w:pStyle w:val="13"/>
        <w:widowControl/>
        <w:numPr>
          <w:ilvl w:val="0"/>
          <w:numId w:val="16"/>
        </w:numPr>
        <w:spacing w:line="360" w:lineRule="auto"/>
        <w:jc w:val="left"/>
        <w:rPr>
          <w:rFonts w:hint="eastAsia" w:hAnsi="宋体" w:cs="宋体"/>
          <w:bCs/>
          <w:szCs w:val="21"/>
        </w:rPr>
      </w:pPr>
      <w:r>
        <w:rPr>
          <w:rFonts w:hint="eastAsia" w:hAnsi="宋体" w:cs="宋体"/>
          <w:color w:val="000000"/>
          <w:szCs w:val="21"/>
          <w:highlight w:val="white"/>
        </w:rPr>
        <w:t>本合同所指“书面通知”包括但不限于短信、电子邮件等数据电文的通知形式，到达时间以民事诉讼法的规定为准，但进行书面通知前后，通知方均有义务电话确认通知事项。</w:t>
      </w:r>
    </w:p>
    <w:p>
      <w:pPr>
        <w:pStyle w:val="100"/>
        <w:widowControl w:val="0"/>
        <w:pBdr>
          <w:left w:val="none" w:color="auto" w:sz="0" w:space="0"/>
          <w:bottom w:val="none" w:color="auto" w:sz="0" w:space="0"/>
          <w:right w:val="none" w:color="auto" w:sz="0" w:space="0"/>
        </w:pBdr>
        <w:spacing w:before="0" w:beforeAutospacing="0" w:after="0" w:afterAutospacing="0" w:line="360" w:lineRule="auto"/>
        <w:jc w:val="both"/>
        <w:rPr>
          <w:rFonts w:hint="eastAsia" w:cs="宋体"/>
          <w:kern w:val="2"/>
          <w:szCs w:val="21"/>
        </w:rPr>
      </w:pPr>
    </w:p>
    <w:p>
      <w:pPr>
        <w:pStyle w:val="100"/>
        <w:widowControl w:val="0"/>
        <w:pBdr>
          <w:left w:val="none" w:color="auto" w:sz="0" w:space="0"/>
          <w:bottom w:val="none" w:color="auto" w:sz="0" w:space="0"/>
          <w:right w:val="none" w:color="auto" w:sz="0" w:space="0"/>
        </w:pBdr>
        <w:spacing w:before="0" w:beforeAutospacing="0" w:after="0" w:afterAutospacing="0" w:line="360" w:lineRule="auto"/>
        <w:jc w:val="both"/>
        <w:rPr>
          <w:rFonts w:hint="eastAsia" w:cs="宋体"/>
          <w:kern w:val="2"/>
          <w:szCs w:val="21"/>
        </w:rPr>
      </w:pPr>
    </w:p>
    <w:p>
      <w:pPr>
        <w:spacing w:line="360" w:lineRule="auto"/>
        <w:ind w:firstLine="420" w:firstLineChars="200"/>
        <w:jc w:val="left"/>
        <w:rPr>
          <w:rFonts w:hint="eastAsia" w:ascii="宋体" w:hAnsi="宋体" w:cs="宋体"/>
          <w:szCs w:val="21"/>
        </w:rPr>
      </w:pPr>
      <w:r>
        <w:rPr>
          <w:rFonts w:hint="eastAsia" w:ascii="宋体" w:hAnsi="宋体" w:cs="宋体"/>
          <w:szCs w:val="21"/>
        </w:rPr>
        <w:t>发  包  人：（公章）                        承  包  人：（公章）</w:t>
      </w:r>
    </w:p>
    <w:p>
      <w:pPr>
        <w:spacing w:line="360" w:lineRule="auto"/>
        <w:ind w:firstLine="420" w:firstLineChars="200"/>
        <w:jc w:val="left"/>
        <w:rPr>
          <w:rFonts w:hint="eastAsia" w:ascii="宋体" w:hAnsi="宋体" w:cs="宋体"/>
          <w:szCs w:val="21"/>
        </w:rPr>
      </w:pPr>
      <w:r>
        <w:rPr>
          <w:rFonts w:hint="eastAsia" w:ascii="宋体" w:hAnsi="宋体" w:cs="宋体"/>
          <w:szCs w:val="21"/>
        </w:rPr>
        <w:t>地      址：                               地      址：</w:t>
      </w:r>
    </w:p>
    <w:p>
      <w:pPr>
        <w:tabs>
          <w:tab w:val="left" w:pos="525"/>
          <w:tab w:val="left" w:pos="1155"/>
        </w:tabs>
        <w:spacing w:line="360" w:lineRule="auto"/>
        <w:ind w:firstLine="420" w:firstLineChars="200"/>
        <w:jc w:val="left"/>
        <w:rPr>
          <w:rFonts w:hint="eastAsia" w:ascii="宋体" w:hAnsi="宋体" w:cs="宋体"/>
          <w:szCs w:val="21"/>
        </w:rPr>
      </w:pPr>
      <w:r>
        <w:rPr>
          <w:rFonts w:hint="eastAsia" w:ascii="宋体" w:hAnsi="宋体" w:cs="宋体"/>
          <w:szCs w:val="21"/>
        </w:rPr>
        <w:t>法定代表人：                               法定代表人：</w:t>
      </w:r>
    </w:p>
    <w:p>
      <w:pPr>
        <w:tabs>
          <w:tab w:val="left" w:pos="525"/>
          <w:tab w:val="left" w:pos="1155"/>
        </w:tabs>
        <w:spacing w:line="360" w:lineRule="auto"/>
        <w:ind w:firstLine="420" w:firstLineChars="200"/>
        <w:jc w:val="left"/>
        <w:rPr>
          <w:rFonts w:hint="eastAsia" w:ascii="宋体" w:hAnsi="宋体" w:cs="宋体"/>
          <w:szCs w:val="21"/>
        </w:rPr>
      </w:pPr>
      <w:r>
        <w:rPr>
          <w:rFonts w:hint="eastAsia" w:ascii="宋体" w:hAnsi="宋体" w:cs="宋体"/>
          <w:szCs w:val="21"/>
        </w:rPr>
        <w:t>委托代理人：                               委托代理人：</w:t>
      </w:r>
    </w:p>
    <w:p>
      <w:pPr>
        <w:tabs>
          <w:tab w:val="left" w:pos="525"/>
          <w:tab w:val="left" w:pos="1155"/>
        </w:tabs>
        <w:spacing w:line="360" w:lineRule="auto"/>
        <w:ind w:firstLine="420" w:firstLineChars="200"/>
        <w:jc w:val="left"/>
        <w:rPr>
          <w:rFonts w:hint="eastAsia" w:ascii="宋体" w:hAnsi="宋体" w:cs="宋体"/>
          <w:szCs w:val="21"/>
        </w:rPr>
      </w:pPr>
      <w:r>
        <w:rPr>
          <w:rFonts w:hint="eastAsia" w:ascii="宋体" w:hAnsi="宋体" w:cs="宋体"/>
          <w:szCs w:val="21"/>
        </w:rPr>
        <w:t>电    话：                                 电    话：</w:t>
      </w:r>
    </w:p>
    <w:p>
      <w:pPr>
        <w:tabs>
          <w:tab w:val="left" w:pos="525"/>
          <w:tab w:val="left" w:pos="1155"/>
        </w:tabs>
        <w:spacing w:line="360" w:lineRule="auto"/>
        <w:ind w:firstLine="420" w:firstLineChars="200"/>
        <w:jc w:val="left"/>
        <w:rPr>
          <w:rFonts w:hint="eastAsia" w:ascii="宋体" w:hAnsi="宋体" w:cs="宋体"/>
          <w:szCs w:val="21"/>
        </w:rPr>
      </w:pPr>
      <w:r>
        <w:rPr>
          <w:rFonts w:hint="eastAsia" w:ascii="宋体" w:hAnsi="宋体" w:cs="宋体"/>
          <w:szCs w:val="21"/>
        </w:rPr>
        <w:t>传    真：                                 传    真：</w:t>
      </w:r>
    </w:p>
    <w:p>
      <w:pPr>
        <w:tabs>
          <w:tab w:val="left" w:pos="525"/>
          <w:tab w:val="left" w:pos="1155"/>
        </w:tabs>
        <w:spacing w:line="360" w:lineRule="auto"/>
        <w:ind w:firstLine="420" w:firstLineChars="200"/>
        <w:jc w:val="left"/>
        <w:rPr>
          <w:rFonts w:hint="eastAsia" w:ascii="宋体" w:hAnsi="宋体" w:cs="宋体"/>
          <w:szCs w:val="21"/>
        </w:rPr>
      </w:pPr>
      <w:r>
        <w:rPr>
          <w:rFonts w:hint="eastAsia" w:ascii="宋体" w:hAnsi="宋体" w:cs="宋体"/>
          <w:szCs w:val="21"/>
        </w:rPr>
        <w:t>开户银行：                                 开户银行：</w:t>
      </w:r>
    </w:p>
    <w:p>
      <w:pPr>
        <w:tabs>
          <w:tab w:val="left" w:pos="525"/>
          <w:tab w:val="left" w:pos="1155"/>
          <w:tab w:val="left" w:pos="6090"/>
        </w:tabs>
        <w:spacing w:line="360" w:lineRule="auto"/>
        <w:ind w:firstLine="420" w:firstLineChars="200"/>
        <w:jc w:val="left"/>
        <w:rPr>
          <w:rFonts w:hint="eastAsia" w:ascii="宋体" w:hAnsi="宋体" w:cs="宋体"/>
          <w:szCs w:val="21"/>
        </w:rPr>
      </w:pPr>
      <w:r>
        <w:rPr>
          <w:rFonts w:hint="eastAsia" w:ascii="宋体" w:hAnsi="宋体" w:cs="宋体"/>
          <w:szCs w:val="21"/>
          <w:lang w:eastAsia="zh-CN"/>
        </w:rPr>
        <w:t>账</w:t>
      </w:r>
      <w:r>
        <w:rPr>
          <w:rFonts w:hint="eastAsia" w:ascii="宋体" w:hAnsi="宋体" w:cs="宋体"/>
          <w:szCs w:val="21"/>
        </w:rPr>
        <w:t xml:space="preserve">    号：                                 </w:t>
      </w:r>
      <w:r>
        <w:rPr>
          <w:rFonts w:hint="eastAsia" w:ascii="宋体" w:hAnsi="宋体" w:cs="宋体"/>
          <w:szCs w:val="21"/>
          <w:lang w:eastAsia="zh-CN"/>
        </w:rPr>
        <w:t>账</w:t>
      </w:r>
      <w:r>
        <w:rPr>
          <w:rFonts w:hint="eastAsia" w:ascii="宋体" w:hAnsi="宋体" w:cs="宋体"/>
          <w:szCs w:val="21"/>
        </w:rPr>
        <w:t xml:space="preserve">    号：</w:t>
      </w:r>
    </w:p>
    <w:p>
      <w:pPr>
        <w:tabs>
          <w:tab w:val="left" w:pos="525"/>
          <w:tab w:val="left" w:pos="1155"/>
        </w:tabs>
        <w:spacing w:line="360" w:lineRule="auto"/>
        <w:ind w:firstLine="420" w:firstLineChars="200"/>
        <w:jc w:val="left"/>
        <w:rPr>
          <w:rFonts w:hint="eastAsia" w:ascii="宋体" w:hAnsi="宋体" w:cs="宋体"/>
          <w:szCs w:val="21"/>
        </w:rPr>
      </w:pPr>
      <w:r>
        <w:rPr>
          <w:rFonts w:hint="eastAsia" w:ascii="宋体" w:hAnsi="宋体" w:cs="宋体"/>
          <w:szCs w:val="21"/>
        </w:rPr>
        <w:t>邮政编码：                                 邮政编码：</w:t>
      </w:r>
    </w:p>
    <w:p>
      <w:pPr>
        <w:tabs>
          <w:tab w:val="left" w:pos="525"/>
          <w:tab w:val="left" w:pos="1155"/>
        </w:tabs>
        <w:spacing w:line="360" w:lineRule="auto"/>
        <w:ind w:firstLine="420" w:firstLineChars="200"/>
        <w:jc w:val="left"/>
        <w:rPr>
          <w:rFonts w:hint="eastAsia" w:ascii="宋体" w:hAnsi="宋体" w:cs="宋体"/>
          <w:szCs w:val="21"/>
        </w:rPr>
      </w:pPr>
      <w:r>
        <w:rPr>
          <w:rFonts w:hint="eastAsia" w:ascii="宋体" w:hAnsi="宋体" w:cs="宋体"/>
          <w:szCs w:val="21"/>
        </w:rPr>
        <w:t>电子邮箱:                                  电子邮箱:</w:t>
      </w: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ind w:firstLine="420" w:firstLineChars="200"/>
        <w:rPr>
          <w:rFonts w:hint="eastAsia" w:ascii="宋体" w:hAnsi="宋体" w:cs="宋体"/>
          <w:color w:val="000000"/>
          <w:szCs w:val="21"/>
        </w:rPr>
      </w:pPr>
    </w:p>
    <w:p>
      <w:pPr>
        <w:spacing w:line="360" w:lineRule="auto"/>
        <w:ind w:firstLine="420" w:firstLineChars="200"/>
        <w:rPr>
          <w:rFonts w:hint="eastAsia" w:ascii="宋体" w:hAnsi="宋体" w:cs="宋体"/>
          <w:color w:val="000000"/>
          <w:szCs w:val="21"/>
        </w:rPr>
      </w:pPr>
    </w:p>
    <w:p>
      <w:pPr>
        <w:pageBreakBefore/>
        <w:spacing w:line="360" w:lineRule="auto"/>
        <w:jc w:val="center"/>
        <w:rPr>
          <w:rFonts w:hint="eastAsia" w:ascii="宋体" w:hAnsi="宋体" w:cs="宋体"/>
          <w:b/>
          <w:szCs w:val="21"/>
        </w:rPr>
      </w:pPr>
      <w:r>
        <w:rPr>
          <w:rFonts w:hint="eastAsia" w:ascii="宋体" w:hAnsi="宋体" w:cs="宋体"/>
          <w:b/>
          <w:szCs w:val="21"/>
        </w:rPr>
        <w:t>二、通用条款</w:t>
      </w:r>
    </w:p>
    <w:p>
      <w:pPr>
        <w:spacing w:line="360" w:lineRule="auto"/>
        <w:jc w:val="center"/>
        <w:rPr>
          <w:rFonts w:hint="eastAsia" w:ascii="宋体" w:hAnsi="宋体" w:cs="宋体"/>
          <w:b/>
          <w:spacing w:val="-8"/>
          <w:szCs w:val="21"/>
        </w:rPr>
      </w:pPr>
      <w:r>
        <w:rPr>
          <w:rFonts w:hint="eastAsia" w:ascii="宋体" w:hAnsi="宋体" w:cs="宋体"/>
          <w:b/>
          <w:spacing w:val="-8"/>
          <w:szCs w:val="21"/>
        </w:rPr>
        <w:t>同《建设工程施工合同（示范文本）》（GF-2013-0201），略。</w:t>
      </w:r>
    </w:p>
    <w:p>
      <w:pPr>
        <w:spacing w:line="360" w:lineRule="auto"/>
        <w:ind w:firstLine="420" w:firstLineChars="200"/>
        <w:rPr>
          <w:rFonts w:hint="eastAsia" w:ascii="宋体" w:hAnsi="宋体" w:cs="宋体"/>
          <w:color w:val="000000"/>
          <w:szCs w:val="21"/>
        </w:rPr>
      </w:pPr>
    </w:p>
    <w:p>
      <w:pPr>
        <w:spacing w:line="360" w:lineRule="auto"/>
        <w:jc w:val="center"/>
        <w:rPr>
          <w:rFonts w:hint="eastAsia" w:ascii="宋体" w:hAnsi="宋体" w:cs="宋体"/>
          <w:b/>
          <w:szCs w:val="21"/>
        </w:rPr>
      </w:pPr>
      <w:r>
        <w:rPr>
          <w:rFonts w:hint="eastAsia" w:ascii="宋体" w:hAnsi="宋体" w:cs="宋体"/>
          <w:b/>
          <w:szCs w:val="21"/>
        </w:rPr>
        <w:t>三、专用条款</w:t>
      </w:r>
    </w:p>
    <w:p>
      <w:pPr>
        <w:spacing w:line="360" w:lineRule="auto"/>
        <w:rPr>
          <w:rFonts w:hint="eastAsia" w:ascii="宋体" w:hAnsi="宋体" w:cs="宋体"/>
          <w:b/>
          <w:color w:val="000000"/>
          <w:szCs w:val="21"/>
        </w:rPr>
      </w:pPr>
      <w:bookmarkStart w:id="620" w:name="_Toc393093281"/>
      <w:bookmarkStart w:id="621" w:name="_Toc394329410"/>
      <w:bookmarkStart w:id="622" w:name="_Toc351203633"/>
      <w:bookmarkStart w:id="623" w:name="_Toc389066713"/>
      <w:bookmarkStart w:id="624" w:name="_Toc389146880"/>
      <w:bookmarkStart w:id="625" w:name="_Toc392078587"/>
      <w:r>
        <w:rPr>
          <w:rFonts w:hint="eastAsia" w:ascii="宋体" w:hAnsi="宋体" w:cs="宋体"/>
          <w:b/>
          <w:color w:val="000000"/>
          <w:szCs w:val="21"/>
          <w:highlight w:val="white"/>
        </w:rPr>
        <w:t>1</w:t>
      </w:r>
      <w:bookmarkStart w:id="626" w:name="_Toc296347155"/>
      <w:bookmarkStart w:id="627" w:name="_Toc292559361"/>
      <w:bookmarkStart w:id="628" w:name="_Toc296346657"/>
      <w:bookmarkStart w:id="629" w:name="_Toc296891196"/>
      <w:bookmarkStart w:id="630" w:name="_Toc292559866"/>
      <w:bookmarkStart w:id="631" w:name="_Toc297120456"/>
      <w:bookmarkStart w:id="632" w:name="_Toc296890984"/>
      <w:bookmarkStart w:id="633" w:name="_Toc297048342"/>
      <w:bookmarkStart w:id="634" w:name="_Toc296503156"/>
      <w:bookmarkStart w:id="635" w:name="_Toc296944495"/>
      <w:r>
        <w:rPr>
          <w:rFonts w:hint="eastAsia" w:ascii="宋体" w:hAnsi="宋体" w:cs="宋体"/>
          <w:b/>
          <w:color w:val="000000"/>
          <w:szCs w:val="21"/>
          <w:highlight w:val="white"/>
        </w:rPr>
        <w:t>. 一般约定</w:t>
      </w:r>
      <w:bookmarkEnd w:id="620"/>
      <w:bookmarkEnd w:id="621"/>
      <w:bookmarkEnd w:id="622"/>
      <w:bookmarkEnd w:id="623"/>
      <w:bookmarkEnd w:id="624"/>
      <w:bookmarkEnd w:id="625"/>
    </w:p>
    <w:bookmarkEnd w:id="626"/>
    <w:bookmarkEnd w:id="627"/>
    <w:bookmarkEnd w:id="628"/>
    <w:bookmarkEnd w:id="629"/>
    <w:bookmarkEnd w:id="630"/>
    <w:bookmarkEnd w:id="631"/>
    <w:bookmarkEnd w:id="632"/>
    <w:bookmarkEnd w:id="633"/>
    <w:bookmarkEnd w:id="634"/>
    <w:bookmarkEnd w:id="635"/>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 词语定义</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1.1.1合同</w:t>
      </w:r>
    </w:p>
    <w:p>
      <w:pPr>
        <w:spacing w:line="360" w:lineRule="auto"/>
        <w:ind w:left="1155" w:leftChars="200" w:hanging="735" w:hangingChars="350"/>
        <w:rPr>
          <w:rFonts w:hint="eastAsia" w:ascii="宋体" w:hAnsi="宋体" w:cs="宋体"/>
          <w:color w:val="000000"/>
          <w:kern w:val="0"/>
          <w:szCs w:val="21"/>
        </w:rPr>
      </w:pPr>
      <w:r>
        <w:rPr>
          <w:rFonts w:hint="eastAsia" w:ascii="宋体" w:hAnsi="宋体" w:cs="宋体"/>
          <w:color w:val="000000"/>
          <w:kern w:val="0"/>
          <w:szCs w:val="21"/>
        </w:rPr>
        <w:t>1.1.1.10其他合同文件包括：</w:t>
      </w:r>
      <w:r>
        <w:rPr>
          <w:rFonts w:hint="eastAsia" w:ascii="宋体" w:hAnsi="宋体" w:cs="宋体"/>
          <w:color w:val="000000"/>
          <w:szCs w:val="21"/>
          <w:u w:val="single"/>
        </w:rPr>
        <w:t xml:space="preserve"> 详见本合同专用条款1.5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1.1.2 合同当事人及其他相关方</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1.1.2.4监理人：</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名    称：</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资质类别和等级：</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1.1.2.5 设计人：</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名    称：</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资质类别和等级：</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1.1.3 工程和设备</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1.1.3.7 作为施工现场组成部分的其他场所包括：</w:t>
      </w:r>
      <w:r>
        <w:rPr>
          <w:rFonts w:hint="eastAsia" w:ascii="宋体" w:hAnsi="宋体" w:cs="宋体"/>
          <w:color w:val="000000"/>
          <w:szCs w:val="21"/>
          <w:u w:val="single"/>
        </w:rPr>
        <w:t xml:space="preserve"> 发包人根据施工组织安排及进度计划向承包人移交的施工工作面及现场用地。发包人未向承包人移交的场所及通道，承包人不得擅自占用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1.1.3.9 永久占地包括：</w:t>
      </w:r>
      <w:r>
        <w:rPr>
          <w:rFonts w:hint="eastAsia" w:ascii="宋体" w:hAnsi="宋体" w:cs="宋体"/>
          <w:color w:val="000000"/>
          <w:szCs w:val="21"/>
          <w:u w:val="single"/>
        </w:rPr>
        <w:t xml:space="preserve"> 指为实施本合同工程而需要的一切永久占用的土地，包括道路两侧路权范围内的用地 </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kern w:val="0"/>
          <w:szCs w:val="21"/>
        </w:rPr>
        <w:t>1.1.3.10 临时占地包括：</w:t>
      </w:r>
      <w:r>
        <w:rPr>
          <w:rFonts w:hint="eastAsia" w:ascii="宋体" w:hAnsi="宋体" w:cs="宋体"/>
          <w:color w:val="000000"/>
          <w:szCs w:val="21"/>
          <w:u w:val="single"/>
        </w:rPr>
        <w:t xml:space="preserve"> 指为实施本合同工程而需要的一切临时占用的土地，包括施工所用的临时支线、便道、便桥和现场的临时出入通道，以及生产（办公）、生活等临时设施用地等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 xml:space="preserve">1.3法律 </w:t>
      </w:r>
    </w:p>
    <w:p>
      <w:pPr>
        <w:autoSpaceDE w:val="0"/>
        <w:autoSpaceDN w:val="0"/>
        <w:adjustRightInd w:val="0"/>
        <w:spacing w:line="360" w:lineRule="auto"/>
        <w:ind w:firstLine="630" w:firstLineChars="300"/>
        <w:jc w:val="left"/>
        <w:rPr>
          <w:rFonts w:hint="eastAsia" w:ascii="宋体" w:hAnsi="宋体" w:cs="宋体"/>
          <w:color w:val="000000"/>
          <w:szCs w:val="21"/>
        </w:rPr>
      </w:pPr>
      <w:r>
        <w:rPr>
          <w:rFonts w:hint="eastAsia" w:ascii="宋体" w:hAnsi="宋体" w:cs="宋体"/>
          <w:color w:val="000000"/>
          <w:szCs w:val="21"/>
        </w:rPr>
        <w:t>适用于合同的其他规范性文件：《中华人民共和国政府采购法》、《中华人民共和国民法典》以及政府采购相关法律法规。</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1.4 标准和规范</w:t>
      </w:r>
    </w:p>
    <w:p>
      <w:pPr>
        <w:spacing w:line="360" w:lineRule="auto"/>
        <w:ind w:left="525" w:leftChars="200" w:hanging="105" w:hangingChars="50"/>
        <w:rPr>
          <w:rFonts w:hint="eastAsia" w:ascii="宋体" w:hAnsi="宋体" w:cs="宋体"/>
          <w:color w:val="000000"/>
          <w:szCs w:val="21"/>
        </w:rPr>
      </w:pPr>
      <w:r>
        <w:rPr>
          <w:rFonts w:hint="eastAsia" w:ascii="宋体" w:hAnsi="宋体" w:cs="宋体"/>
          <w:color w:val="000000"/>
          <w:szCs w:val="21"/>
        </w:rPr>
        <w:t>1.4.1适用于工程的标准规范包括：</w:t>
      </w:r>
      <w:r>
        <w:rPr>
          <w:rFonts w:hint="eastAsia" w:ascii="宋体" w:hAnsi="宋体" w:cs="宋体"/>
          <w:szCs w:val="21"/>
        </w:rPr>
        <w:t>约定适用的标准、规范的名称：按照国家、广东省及佛山市相应行业现行相关工程施工和验收规范。</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1.4.2 发包人提供国外标准、规范的名称：</w:t>
      </w:r>
      <w:r>
        <w:rPr>
          <w:rFonts w:hint="eastAsia" w:ascii="宋体" w:hAnsi="宋体" w:cs="宋体"/>
          <w:color w:val="000000"/>
          <w:kern w:val="0"/>
          <w:szCs w:val="21"/>
          <w:u w:val="single"/>
        </w:rPr>
        <w:t xml:space="preserve">  </w:t>
      </w:r>
      <w:r>
        <w:rPr>
          <w:rFonts w:hint="eastAsia" w:ascii="宋体" w:hAnsi="宋体" w:cs="宋体"/>
          <w:color w:val="000000"/>
          <w:kern w:val="0"/>
          <w:szCs w:val="21"/>
          <w:u w:val="single"/>
          <w:lang w:val="en-US" w:eastAsia="zh-CN"/>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发包人提供国外标准、规范的份数：</w:t>
      </w:r>
      <w:r>
        <w:rPr>
          <w:rFonts w:hint="eastAsia" w:ascii="宋体" w:hAnsi="宋体" w:cs="宋体"/>
          <w:color w:val="000000"/>
          <w:kern w:val="0"/>
          <w:szCs w:val="21"/>
          <w:u w:val="single"/>
        </w:rPr>
        <w:t xml:space="preserve">  </w:t>
      </w:r>
      <w:r>
        <w:rPr>
          <w:rFonts w:hint="eastAsia" w:ascii="宋体" w:hAnsi="宋体" w:cs="宋体"/>
          <w:color w:val="000000"/>
          <w:kern w:val="0"/>
          <w:szCs w:val="21"/>
          <w:u w:val="single"/>
          <w:lang w:val="en-US" w:eastAsia="zh-CN"/>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kern w:val="0"/>
          <w:szCs w:val="21"/>
        </w:rPr>
        <w:t>发包人提供国外标准、规范的名称：</w:t>
      </w:r>
      <w:r>
        <w:rPr>
          <w:rFonts w:hint="eastAsia" w:ascii="宋体" w:hAnsi="宋体" w:cs="宋体"/>
          <w:color w:val="000000"/>
          <w:kern w:val="0"/>
          <w:szCs w:val="21"/>
          <w:u w:val="single"/>
        </w:rPr>
        <w:t xml:space="preserve">  </w:t>
      </w:r>
      <w:r>
        <w:rPr>
          <w:rFonts w:hint="eastAsia" w:ascii="宋体" w:hAnsi="宋体" w:cs="宋体"/>
          <w:color w:val="000000"/>
          <w:kern w:val="0"/>
          <w:szCs w:val="21"/>
          <w:u w:val="single"/>
          <w:lang w:val="en-US" w:eastAsia="zh-CN"/>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pacing w:line="360" w:lineRule="auto"/>
        <w:ind w:left="596" w:leftChars="284"/>
        <w:rPr>
          <w:rFonts w:hint="eastAsia" w:ascii="宋体" w:hAnsi="宋体" w:cs="宋体"/>
          <w:color w:val="000000"/>
          <w:szCs w:val="21"/>
        </w:rPr>
      </w:pPr>
      <w:r>
        <w:rPr>
          <w:rFonts w:hint="eastAsia" w:ascii="宋体" w:hAnsi="宋体" w:cs="宋体"/>
          <w:color w:val="000000"/>
          <w:szCs w:val="21"/>
        </w:rPr>
        <w:t>1.4.3发包人对工程的技术标准和功能要求的特殊要求：</w:t>
      </w:r>
    </w:p>
    <w:p>
      <w:pPr>
        <w:spacing w:line="360" w:lineRule="auto"/>
        <w:ind w:left="420" w:leftChars="200"/>
        <w:rPr>
          <w:rFonts w:hint="eastAsia" w:ascii="宋体" w:hAnsi="宋体" w:cs="宋体"/>
          <w:color w:val="000000"/>
          <w:szCs w:val="21"/>
          <w:u w:val="single"/>
        </w:rPr>
      </w:pPr>
      <w:r>
        <w:rPr>
          <w:rFonts w:hint="eastAsia" w:ascii="宋体" w:hAnsi="宋体" w:cs="宋体"/>
          <w:color w:val="000000"/>
          <w:szCs w:val="21"/>
          <w:u w:val="single"/>
        </w:rPr>
        <w:t xml:space="preserve">（1）如果“技术标准和要求”中约定的任何质量和工艺标准与现行适用的国家和行业标准、规范有任何矛盾或不一致时，除非监理工程师另有指示，承包人应执行要求最高、版本最新的标准。 </w:t>
      </w:r>
    </w:p>
    <w:p>
      <w:pPr>
        <w:spacing w:line="360" w:lineRule="auto"/>
        <w:ind w:left="420" w:leftChars="200"/>
        <w:rPr>
          <w:rFonts w:hint="eastAsia" w:ascii="宋体" w:hAnsi="宋体" w:cs="宋体"/>
          <w:color w:val="000000"/>
          <w:szCs w:val="21"/>
          <w:u w:val="single"/>
        </w:rPr>
      </w:pPr>
      <w:r>
        <w:rPr>
          <w:rFonts w:hint="eastAsia" w:ascii="宋体" w:hAnsi="宋体" w:cs="宋体"/>
          <w:color w:val="000000"/>
          <w:szCs w:val="21"/>
          <w:u w:val="single"/>
        </w:rPr>
        <w:t xml:space="preserve">（2）没有国家标准、规范但有行业标准、规范，约定适用行业标准、规范；没有国家和行业标准、 规范，约定适用工程所在地地方标准、规范。这些标准必须是有关机构发布的最新版本的标准。 </w:t>
      </w:r>
    </w:p>
    <w:p>
      <w:pPr>
        <w:spacing w:line="360" w:lineRule="auto"/>
        <w:ind w:left="420" w:leftChars="200"/>
        <w:rPr>
          <w:rFonts w:hint="eastAsia" w:ascii="宋体" w:hAnsi="宋体" w:cs="宋体"/>
          <w:color w:val="000000"/>
          <w:szCs w:val="21"/>
        </w:rPr>
      </w:pPr>
      <w:r>
        <w:rPr>
          <w:rFonts w:hint="eastAsia" w:ascii="宋体" w:hAnsi="宋体" w:cs="宋体"/>
          <w:color w:val="000000"/>
          <w:szCs w:val="21"/>
          <w:u w:val="single"/>
        </w:rPr>
        <w:t xml:space="preserve">（3）国内没有相应标准、规范，由发包人向承包人提出施工技术要求，承包人按约定的时间和要求提出施工工艺报监理工程师审查，经发包人批准后执行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1.5 合同文件的优先顺序</w:t>
      </w:r>
    </w:p>
    <w:p>
      <w:pPr>
        <w:spacing w:line="360" w:lineRule="auto"/>
        <w:ind w:firstLine="420" w:firstLineChars="200"/>
        <w:jc w:val="left"/>
        <w:rPr>
          <w:rFonts w:hint="eastAsia" w:ascii="宋体" w:hAnsi="宋体" w:cs="宋体"/>
          <w:szCs w:val="21"/>
          <w:u w:val="single"/>
        </w:rPr>
      </w:pPr>
      <w:r>
        <w:rPr>
          <w:rFonts w:hint="eastAsia" w:ascii="宋体" w:hAnsi="宋体" w:cs="宋体"/>
          <w:color w:val="000000"/>
          <w:szCs w:val="21"/>
        </w:rPr>
        <w:t>合同文件组成及优先顺序为：</w:t>
      </w:r>
      <w:r>
        <w:rPr>
          <w:rFonts w:hint="eastAsia" w:ascii="宋体" w:hAnsi="宋体" w:cs="宋体"/>
          <w:szCs w:val="21"/>
          <w:u w:val="single"/>
        </w:rPr>
        <w:t xml:space="preserve"> 下列组成本合同的文件是一个合同整体，彼此应当能相互解释，互为说明。当出现相互矛盾时，组成本合同文件的优先解释顺序如下：  </w:t>
      </w:r>
    </w:p>
    <w:p>
      <w:pPr>
        <w:spacing w:line="360" w:lineRule="auto"/>
        <w:ind w:left="420" w:leftChars="200"/>
        <w:rPr>
          <w:rFonts w:hint="eastAsia" w:ascii="宋体" w:hAnsi="宋体" w:eastAsia="宋体" w:cs="宋体"/>
          <w:color w:val="000000"/>
          <w:szCs w:val="21"/>
          <w:u w:val="single"/>
        </w:rPr>
      </w:pPr>
      <w:r>
        <w:rPr>
          <w:rFonts w:hint="eastAsia" w:ascii="宋体" w:hAnsi="宋体" w:eastAsia="宋体" w:cs="宋体"/>
          <w:color w:val="000000"/>
          <w:szCs w:val="21"/>
          <w:u w:val="single"/>
        </w:rPr>
        <w:t xml:space="preserve">（1）本合同履行期间发包人与承包人双方签订的补充合同（含洽商记录、会议纪要、工程变更、现场签证、索赔和合同价款调整报告等修正文件）； </w:t>
      </w:r>
    </w:p>
    <w:p>
      <w:pPr>
        <w:spacing w:line="360" w:lineRule="auto"/>
        <w:ind w:left="420" w:leftChars="200"/>
        <w:rPr>
          <w:rFonts w:hint="eastAsia" w:ascii="宋体" w:hAnsi="宋体" w:eastAsia="宋体" w:cs="宋体"/>
          <w:color w:val="000000"/>
          <w:szCs w:val="21"/>
          <w:u w:val="single"/>
        </w:rPr>
      </w:pPr>
      <w:r>
        <w:rPr>
          <w:rFonts w:hint="eastAsia" w:ascii="宋体" w:hAnsi="宋体" w:eastAsia="宋体" w:cs="宋体"/>
          <w:color w:val="000000"/>
          <w:szCs w:val="21"/>
          <w:u w:val="single"/>
        </w:rPr>
        <w:t xml:space="preserve">（2）本合同协议书； </w:t>
      </w:r>
    </w:p>
    <w:p>
      <w:pPr>
        <w:spacing w:line="360" w:lineRule="auto"/>
        <w:ind w:left="420" w:leftChars="200"/>
        <w:rPr>
          <w:rFonts w:hint="eastAsia" w:ascii="宋体" w:hAnsi="宋体" w:eastAsia="宋体" w:cs="宋体"/>
          <w:color w:val="000000"/>
          <w:szCs w:val="21"/>
          <w:u w:val="single"/>
        </w:rPr>
      </w:pPr>
      <w:r>
        <w:rPr>
          <w:rFonts w:hint="eastAsia" w:ascii="宋体" w:hAnsi="宋体" w:eastAsia="宋体" w:cs="宋体"/>
          <w:color w:val="000000"/>
          <w:szCs w:val="21"/>
          <w:u w:val="single"/>
        </w:rPr>
        <w:t xml:space="preserve">（3）本合同专用条款； </w:t>
      </w:r>
    </w:p>
    <w:p>
      <w:pPr>
        <w:spacing w:line="360" w:lineRule="auto"/>
        <w:ind w:left="420" w:leftChars="200"/>
        <w:rPr>
          <w:rFonts w:hint="eastAsia" w:ascii="宋体" w:hAnsi="宋体" w:eastAsia="宋体" w:cs="宋体"/>
          <w:color w:val="000000"/>
          <w:szCs w:val="21"/>
          <w:u w:val="single"/>
        </w:rPr>
      </w:pPr>
      <w:r>
        <w:rPr>
          <w:rFonts w:hint="eastAsia" w:ascii="宋体" w:hAnsi="宋体" w:eastAsia="宋体" w:cs="宋体"/>
          <w:color w:val="000000"/>
          <w:szCs w:val="21"/>
          <w:u w:val="single"/>
        </w:rPr>
        <w:t xml:space="preserve">（4）通用条款； </w:t>
      </w:r>
    </w:p>
    <w:p>
      <w:pPr>
        <w:spacing w:line="360" w:lineRule="auto"/>
        <w:ind w:left="420" w:leftChars="200"/>
        <w:rPr>
          <w:rFonts w:hint="eastAsia" w:ascii="宋体" w:hAnsi="宋体" w:eastAsia="宋体" w:cs="宋体"/>
          <w:color w:val="000000"/>
          <w:szCs w:val="21"/>
          <w:u w:val="single"/>
        </w:rPr>
      </w:pPr>
      <w:r>
        <w:rPr>
          <w:rFonts w:hint="eastAsia" w:ascii="宋体" w:hAnsi="宋体" w:eastAsia="宋体" w:cs="宋体"/>
          <w:color w:val="000000"/>
          <w:szCs w:val="21"/>
          <w:u w:val="single"/>
        </w:rPr>
        <w:t xml:space="preserve">（5）成交通知书； </w:t>
      </w:r>
    </w:p>
    <w:p>
      <w:pPr>
        <w:spacing w:line="360" w:lineRule="auto"/>
        <w:ind w:left="420" w:leftChars="200"/>
        <w:rPr>
          <w:rFonts w:hint="eastAsia" w:ascii="宋体" w:hAnsi="宋体" w:eastAsia="宋体" w:cs="宋体"/>
          <w:color w:val="000000"/>
          <w:szCs w:val="21"/>
          <w:u w:val="single"/>
        </w:rPr>
      </w:pPr>
      <w:r>
        <w:rPr>
          <w:rFonts w:hint="eastAsia" w:ascii="宋体" w:hAnsi="宋体" w:eastAsia="宋体" w:cs="宋体"/>
          <w:color w:val="000000"/>
          <w:szCs w:val="21"/>
          <w:u w:val="single"/>
        </w:rPr>
        <w:t>（6）磋商文件（含招标控制价、图纸、工程量清单及编制说明、</w:t>
      </w:r>
      <w:r>
        <w:rPr>
          <w:rFonts w:hint="eastAsia" w:ascii="宋体" w:hAnsi="宋体" w:eastAsia="宋体" w:cs="宋体"/>
          <w:color w:val="000000"/>
          <w:szCs w:val="21"/>
          <w:u w:val="single"/>
          <w:lang w:eastAsia="zh-CN"/>
        </w:rPr>
        <w:t>磋商</w:t>
      </w:r>
      <w:r>
        <w:rPr>
          <w:rFonts w:hint="eastAsia" w:ascii="宋体" w:hAnsi="宋体" w:eastAsia="宋体" w:cs="宋体"/>
          <w:color w:val="000000"/>
          <w:szCs w:val="21"/>
          <w:u w:val="single"/>
        </w:rPr>
        <w:t>文件补充文件、澄清文件、答疑文件等）；</w:t>
      </w:r>
    </w:p>
    <w:p>
      <w:pPr>
        <w:spacing w:line="360" w:lineRule="auto"/>
        <w:ind w:left="420" w:leftChars="200"/>
        <w:rPr>
          <w:rFonts w:hint="eastAsia" w:ascii="宋体" w:hAnsi="宋体" w:eastAsia="宋体" w:cs="宋体"/>
          <w:color w:val="000000"/>
          <w:szCs w:val="21"/>
          <w:u w:val="single"/>
        </w:rPr>
      </w:pPr>
      <w:r>
        <w:rPr>
          <w:rFonts w:hint="eastAsia" w:ascii="宋体" w:hAnsi="宋体" w:eastAsia="宋体" w:cs="宋体"/>
          <w:color w:val="000000"/>
          <w:szCs w:val="21"/>
          <w:u w:val="single"/>
        </w:rPr>
        <w:t xml:space="preserve"> （7）承包人响应文件及其附件（含</w:t>
      </w:r>
      <w:r>
        <w:rPr>
          <w:rFonts w:hint="eastAsia" w:ascii="宋体" w:hAnsi="宋体" w:eastAsia="宋体" w:cs="宋体"/>
          <w:color w:val="000000"/>
          <w:szCs w:val="21"/>
          <w:u w:val="single"/>
          <w:lang w:eastAsia="zh-CN"/>
        </w:rPr>
        <w:t>磋商</w:t>
      </w:r>
      <w:r>
        <w:rPr>
          <w:rFonts w:hint="eastAsia" w:ascii="宋体" w:hAnsi="宋体" w:eastAsia="宋体" w:cs="宋体"/>
          <w:color w:val="000000"/>
          <w:szCs w:val="21"/>
          <w:u w:val="single"/>
        </w:rPr>
        <w:t>期间的澄清文件和补充资料）；</w:t>
      </w:r>
    </w:p>
    <w:p>
      <w:pPr>
        <w:spacing w:line="360" w:lineRule="auto"/>
        <w:ind w:left="420" w:leftChars="200"/>
        <w:rPr>
          <w:rFonts w:hint="eastAsia" w:ascii="宋体" w:hAnsi="宋体" w:eastAsia="宋体" w:cs="宋体"/>
          <w:color w:val="000000"/>
          <w:szCs w:val="21"/>
          <w:u w:val="single"/>
        </w:rPr>
      </w:pPr>
      <w:r>
        <w:rPr>
          <w:rFonts w:hint="eastAsia" w:ascii="宋体" w:hAnsi="宋体" w:eastAsia="宋体" w:cs="宋体"/>
          <w:color w:val="000000"/>
          <w:szCs w:val="21"/>
          <w:u w:val="single"/>
        </w:rPr>
        <w:t xml:space="preserve"> （8）标准、规范及有关技术文件； </w:t>
      </w:r>
    </w:p>
    <w:p>
      <w:pPr>
        <w:spacing w:line="360" w:lineRule="auto"/>
        <w:ind w:left="420" w:leftChars="200"/>
        <w:rPr>
          <w:rFonts w:hint="eastAsia" w:ascii="宋体" w:hAnsi="宋体" w:eastAsia="宋体" w:cs="宋体"/>
          <w:color w:val="000000"/>
          <w:szCs w:val="21"/>
          <w:u w:val="single"/>
        </w:rPr>
      </w:pPr>
      <w:r>
        <w:rPr>
          <w:rFonts w:hint="eastAsia" w:ascii="宋体" w:hAnsi="宋体" w:eastAsia="宋体" w:cs="宋体"/>
          <w:color w:val="000000"/>
          <w:szCs w:val="21"/>
          <w:u w:val="single"/>
        </w:rPr>
        <w:t>（9）组成合同的其他文件：本合同的附件。</w:t>
      </w:r>
    </w:p>
    <w:p>
      <w:pPr>
        <w:spacing w:line="360" w:lineRule="auto"/>
        <w:ind w:left="420" w:leftChars="200"/>
        <w:rPr>
          <w:rFonts w:hint="eastAsia" w:ascii="宋体" w:hAnsi="宋体" w:eastAsia="宋体" w:cs="宋体"/>
          <w:color w:val="000000"/>
          <w:szCs w:val="21"/>
          <w:u w:val="single"/>
        </w:rPr>
      </w:pPr>
      <w:r>
        <w:rPr>
          <w:rFonts w:hint="eastAsia" w:ascii="宋体" w:hAnsi="宋体" w:eastAsia="宋体" w:cs="宋体"/>
          <w:color w:val="000000"/>
          <w:szCs w:val="21"/>
          <w:u w:val="single"/>
        </w:rPr>
        <w:t xml:space="preserve"> 上述未能解释清晰的，以要求较高者为解释依据；先后时间形成的文件有矛盾，以后形成的文件为解释依据；如承包人在响应文件及其附件中作出有比</w:t>
      </w:r>
      <w:r>
        <w:rPr>
          <w:rFonts w:hint="eastAsia" w:ascii="宋体" w:hAnsi="宋体" w:eastAsia="宋体" w:cs="宋体"/>
          <w:color w:val="000000"/>
          <w:szCs w:val="21"/>
          <w:u w:val="single"/>
          <w:lang w:eastAsia="zh-CN"/>
        </w:rPr>
        <w:t>磋商</w:t>
      </w:r>
      <w:r>
        <w:rPr>
          <w:rFonts w:hint="eastAsia" w:ascii="宋体" w:hAnsi="宋体" w:eastAsia="宋体" w:cs="宋体"/>
          <w:color w:val="000000"/>
          <w:szCs w:val="21"/>
          <w:u w:val="single"/>
        </w:rPr>
        <w:t>文件及其附件、答疑补遗文件和本合同（含合同协议书、专用合同条款、通用合同条款，下同）更有利于发包人的响应，则响应文件及其附件中更有利于发包人的相关条款内容的解释顺序优于</w:t>
      </w:r>
      <w:r>
        <w:rPr>
          <w:rFonts w:hint="eastAsia" w:ascii="宋体" w:hAnsi="宋体" w:eastAsia="宋体" w:cs="宋体"/>
          <w:color w:val="000000"/>
          <w:szCs w:val="21"/>
          <w:u w:val="single"/>
          <w:lang w:eastAsia="zh-CN"/>
        </w:rPr>
        <w:t>磋商</w:t>
      </w:r>
      <w:r>
        <w:rPr>
          <w:rFonts w:hint="eastAsia" w:ascii="宋体" w:hAnsi="宋体" w:eastAsia="宋体" w:cs="宋体"/>
          <w:color w:val="000000"/>
          <w:szCs w:val="21"/>
          <w:u w:val="single"/>
        </w:rPr>
        <w:t>文件及其附件、答疑补遗文件和本合同，承包人须按这些响应承诺履行（即发包人有权视情况适用有利于己方的条款或文件而不遵循上述解释顺序）。</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1.6 图纸和承包人文件</w:t>
      </w:r>
      <w:r>
        <w:rPr>
          <w:rFonts w:hint="eastAsia" w:ascii="宋体" w:hAnsi="宋体" w:cs="宋体"/>
          <w:color w:val="000000"/>
          <w:szCs w:val="21"/>
        </w:rPr>
        <w:tab/>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1.6.1 图纸的提供</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发包人向承包人提供图纸的期限：</w:t>
      </w:r>
      <w:r>
        <w:rPr>
          <w:rFonts w:hint="eastAsia" w:ascii="宋体" w:hAnsi="宋体" w:cs="宋体"/>
          <w:color w:val="000000"/>
          <w:szCs w:val="21"/>
          <w:u w:val="single"/>
        </w:rPr>
        <w:t xml:space="preserve"> 图纸开工前提供，标准和规范文件资料由承包人自行筹集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发包人向承包人提供图纸的数量：</w:t>
      </w:r>
      <w:r>
        <w:rPr>
          <w:rFonts w:hint="eastAsia" w:ascii="宋体" w:hAnsi="宋体" w:cs="宋体"/>
          <w:color w:val="000000"/>
          <w:kern w:val="0"/>
          <w:szCs w:val="21"/>
          <w:u w:val="single"/>
        </w:rPr>
        <w:t xml:space="preserve">  </w:t>
      </w:r>
      <w:r>
        <w:rPr>
          <w:rFonts w:hint="eastAsia" w:ascii="宋体" w:hAnsi="宋体" w:cs="宋体"/>
          <w:color w:val="000000"/>
          <w:kern w:val="0"/>
          <w:szCs w:val="21"/>
          <w:u w:val="single"/>
          <w:lang w:val="en-US" w:eastAsia="zh-CN"/>
        </w:rPr>
        <w:t xml:space="preserve">/ </w:t>
      </w:r>
      <w:r>
        <w:rPr>
          <w:rFonts w:hint="eastAsia" w:ascii="宋体" w:hAnsi="宋体" w:cs="宋体"/>
          <w:color w:val="000000"/>
          <w:kern w:val="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发包人向承包人提供图纸的内容：</w:t>
      </w:r>
      <w:r>
        <w:rPr>
          <w:rFonts w:hint="eastAsia" w:ascii="宋体" w:hAnsi="宋体" w:cs="宋体"/>
          <w:color w:val="000000"/>
          <w:kern w:val="0"/>
          <w:szCs w:val="21"/>
          <w:u w:val="single"/>
        </w:rPr>
        <w:t xml:space="preserve">  </w:t>
      </w:r>
      <w:r>
        <w:rPr>
          <w:rFonts w:hint="eastAsia" w:ascii="宋体" w:hAnsi="宋体" w:cs="宋体"/>
          <w:color w:val="000000"/>
          <w:kern w:val="0"/>
          <w:szCs w:val="21"/>
          <w:u w:val="single"/>
          <w:lang w:val="en-US" w:eastAsia="zh-CN"/>
        </w:rPr>
        <w:t xml:space="preserve">/ </w:t>
      </w:r>
      <w:r>
        <w:rPr>
          <w:rFonts w:hint="eastAsia" w:ascii="宋体" w:hAnsi="宋体" w:cs="宋体"/>
          <w:color w:val="000000"/>
          <w:kern w:val="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1.6.4 承包人文件</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需要由承包人提供的文件，包括：</w:t>
      </w:r>
      <w:r>
        <w:rPr>
          <w:rFonts w:hint="eastAsia" w:ascii="宋体" w:hAnsi="宋体" w:cs="宋体"/>
          <w:color w:val="000000"/>
          <w:szCs w:val="21"/>
          <w:u w:val="single"/>
        </w:rPr>
        <w:t xml:space="preserve"> 签订合同前需提供：施工进度计划、施工方案，项目人员管理班子等 </w:t>
      </w:r>
      <w:r>
        <w:rPr>
          <w:rFonts w:hint="eastAsia" w:ascii="宋体" w:hAnsi="宋体" w:cs="宋体"/>
          <w:color w:val="000000"/>
          <w:szCs w:val="21"/>
        </w:rPr>
        <w:t>；</w:t>
      </w:r>
    </w:p>
    <w:p>
      <w:pPr>
        <w:spacing w:line="360" w:lineRule="auto"/>
        <w:ind w:firstLine="420" w:firstLineChars="200"/>
        <w:rPr>
          <w:rFonts w:hint="eastAsia" w:ascii="宋体" w:hAnsi="宋体" w:eastAsia="宋体" w:cs="宋体"/>
          <w:color w:val="000000"/>
          <w:szCs w:val="21"/>
          <w:lang w:eastAsia="zh-CN"/>
        </w:rPr>
      </w:pPr>
      <w:r>
        <w:rPr>
          <w:rFonts w:hint="eastAsia" w:ascii="宋体" w:hAnsi="宋体" w:cs="宋体"/>
          <w:color w:val="000000"/>
          <w:szCs w:val="21"/>
          <w:u w:val="single"/>
        </w:rPr>
        <w:t>工程完工后需提供：承包人负责竣工资料的整理，并向发包人提交完整的竣工资料</w:t>
      </w:r>
      <w:r>
        <w:rPr>
          <w:rFonts w:hint="eastAsia" w:ascii="宋体" w:hAnsi="宋体" w:cs="宋体"/>
          <w:color w:val="000000"/>
          <w:szCs w:val="21"/>
          <w:u w:val="single"/>
          <w:lang w:eastAsia="zh-CN"/>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承包人提供的文件的期限为：</w:t>
      </w:r>
      <w:r>
        <w:rPr>
          <w:rFonts w:hint="eastAsia" w:ascii="宋体" w:hAnsi="宋体" w:cs="宋体"/>
          <w:color w:val="000000"/>
          <w:szCs w:val="21"/>
          <w:u w:val="single"/>
        </w:rPr>
        <w:t xml:space="preserve"> 发包人指定的期限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承包人提供的文件的数量为：</w:t>
      </w:r>
      <w:r>
        <w:rPr>
          <w:rFonts w:hint="eastAsia" w:ascii="宋体" w:hAnsi="宋体" w:cs="宋体"/>
          <w:color w:val="000000"/>
          <w:szCs w:val="21"/>
          <w:u w:val="single"/>
        </w:rPr>
        <w:t xml:space="preserve"> 发包人指定的</w:t>
      </w:r>
      <w:r>
        <w:rPr>
          <w:rFonts w:hint="eastAsia" w:ascii="宋体" w:hAnsi="宋体" w:cs="宋体"/>
          <w:color w:val="000000"/>
          <w:szCs w:val="21"/>
          <w:u w:val="single"/>
          <w:lang w:eastAsia="zh-CN"/>
        </w:rPr>
        <w:t>数量</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承包人提供的文件的形式为：</w:t>
      </w:r>
      <w:r>
        <w:rPr>
          <w:rFonts w:hint="eastAsia" w:ascii="宋体" w:hAnsi="宋体" w:cs="宋体"/>
          <w:color w:val="000000"/>
          <w:szCs w:val="21"/>
          <w:u w:val="single"/>
        </w:rPr>
        <w:t xml:space="preserve"> 发包人指定的</w:t>
      </w:r>
      <w:r>
        <w:rPr>
          <w:rFonts w:hint="eastAsia" w:ascii="宋体" w:hAnsi="宋体" w:cs="宋体"/>
          <w:color w:val="000000"/>
          <w:szCs w:val="21"/>
          <w:u w:val="single"/>
          <w:lang w:eastAsia="zh-CN"/>
        </w:rPr>
        <w:t>形式</w:t>
      </w:r>
      <w:r>
        <w:rPr>
          <w:rFonts w:hint="eastAsia" w:ascii="宋体" w:hAnsi="宋体" w:cs="宋体"/>
          <w:color w:val="000000"/>
          <w:szCs w:val="21"/>
          <w:u w:val="single"/>
          <w:lang w:val="en-US" w:eastAsia="zh-CN"/>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发包人审批承包人文件的期限：</w:t>
      </w:r>
      <w:r>
        <w:rPr>
          <w:rFonts w:hint="eastAsia" w:ascii="宋体" w:hAnsi="宋体" w:cs="宋体"/>
          <w:color w:val="000000"/>
          <w:szCs w:val="21"/>
          <w:u w:val="single"/>
        </w:rPr>
        <w:t xml:space="preserve"> 收到书面文件后14天内 </w:t>
      </w:r>
      <w:r>
        <w:rPr>
          <w:rFonts w:hint="eastAsia" w:ascii="宋体" w:hAnsi="宋体" w:cs="宋体"/>
          <w:color w:val="000000"/>
          <w:szCs w:val="21"/>
        </w:rPr>
        <w:t>。</w:t>
      </w:r>
    </w:p>
    <w:p>
      <w:pPr>
        <w:spacing w:line="360" w:lineRule="auto"/>
        <w:ind w:firstLine="420" w:firstLineChars="200"/>
        <w:rPr>
          <w:rFonts w:hint="eastAsia" w:ascii="宋体" w:hAnsi="宋体" w:eastAsia="宋体" w:cs="宋体"/>
          <w:color w:val="000000"/>
          <w:szCs w:val="21"/>
          <w:u w:val="single"/>
        </w:rPr>
      </w:pPr>
      <w:r>
        <w:rPr>
          <w:rFonts w:hint="eastAsia" w:ascii="宋体" w:hAnsi="宋体" w:eastAsia="宋体" w:cs="宋体"/>
          <w:color w:val="000000"/>
          <w:szCs w:val="21"/>
          <w:u w:val="single"/>
        </w:rPr>
        <w:t>如果由于承包人没有按本合同要求发出图纸、规范或其它文件是造成监理工程师未发出图纸（或指示）的全部原因（或部分原因），或承包人未及时通知监理人图纸存在差错、遗漏或缺陷的，由此产生的后果由承包人承担。</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1.6.5 现场图纸准备</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关于现场图纸准备的约定：</w:t>
      </w:r>
      <w:r>
        <w:rPr>
          <w:rFonts w:hint="eastAsia" w:ascii="宋体" w:hAnsi="宋体" w:cs="宋体"/>
          <w:color w:val="000000"/>
          <w:szCs w:val="21"/>
          <w:u w:val="single"/>
        </w:rPr>
        <w:t xml:space="preserve"> 按通用条款执行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1.7 联络</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1.7.1发包人和承包人应当在</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7</w:t>
      </w:r>
      <w:r>
        <w:rPr>
          <w:rFonts w:hint="eastAsia" w:ascii="宋体" w:hAnsi="宋体" w:cs="宋体"/>
          <w:color w:val="000000"/>
          <w:szCs w:val="21"/>
          <w:u w:val="single"/>
        </w:rPr>
        <w:t xml:space="preserve"> </w:t>
      </w:r>
      <w:r>
        <w:rPr>
          <w:rFonts w:hint="eastAsia" w:ascii="宋体" w:hAnsi="宋体" w:cs="宋体"/>
          <w:color w:val="000000"/>
          <w:kern w:val="0"/>
          <w:szCs w:val="21"/>
        </w:rPr>
        <w:t>天内将与合同有关的通知、批准、证明、证书、指示、指令、要求、请求、同意、意见、确定和决定等书面函件送达对方当事人。</w:t>
      </w:r>
    </w:p>
    <w:p>
      <w:pPr>
        <w:spacing w:line="360" w:lineRule="auto"/>
        <w:ind w:left="105" w:leftChars="50" w:firstLine="315" w:firstLineChars="150"/>
        <w:rPr>
          <w:rFonts w:hint="eastAsia" w:ascii="宋体" w:hAnsi="宋体" w:cs="宋体"/>
          <w:color w:val="000000"/>
          <w:kern w:val="0"/>
          <w:szCs w:val="21"/>
        </w:rPr>
      </w:pPr>
      <w:r>
        <w:rPr>
          <w:rFonts w:hint="eastAsia" w:ascii="宋体" w:hAnsi="宋体" w:cs="宋体"/>
          <w:color w:val="000000"/>
          <w:kern w:val="0"/>
          <w:szCs w:val="21"/>
        </w:rPr>
        <w:t>1.7.2 发包人接收文件的地点：</w:t>
      </w:r>
      <w:r>
        <w:rPr>
          <w:rFonts w:hint="eastAsia" w:ascii="宋体" w:hAnsi="宋体" w:cs="宋体"/>
          <w:color w:val="000000"/>
          <w:szCs w:val="21"/>
          <w:u w:val="single"/>
        </w:rPr>
        <w:t xml:space="preserve">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发包人指定的接收人为：</w:t>
      </w:r>
      <w:r>
        <w:rPr>
          <w:rFonts w:hint="eastAsia" w:ascii="宋体" w:hAnsi="宋体" w:cs="宋体"/>
          <w:color w:val="000000"/>
          <w:szCs w:val="21"/>
          <w:u w:val="single"/>
        </w:rPr>
        <w:t xml:space="preserve">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承包人接收文件的地点：</w:t>
      </w:r>
      <w:r>
        <w:rPr>
          <w:rFonts w:hint="eastAsia" w:ascii="宋体" w:hAnsi="宋体" w:cs="宋体"/>
          <w:color w:val="000000"/>
          <w:szCs w:val="21"/>
          <w:u w:val="single"/>
        </w:rPr>
        <w:t xml:space="preserve">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承包人指定的接收人为：</w:t>
      </w:r>
      <w:r>
        <w:rPr>
          <w:rFonts w:hint="eastAsia" w:ascii="宋体" w:hAnsi="宋体" w:cs="宋体"/>
          <w:color w:val="000000"/>
          <w:szCs w:val="21"/>
          <w:u w:val="single"/>
        </w:rPr>
        <w:t xml:space="preserve">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监理人接收文件的地点：</w:t>
      </w:r>
      <w:r>
        <w:rPr>
          <w:rFonts w:hint="eastAsia" w:ascii="宋体" w:hAnsi="宋体" w:cs="宋体"/>
          <w:color w:val="000000"/>
          <w:szCs w:val="21"/>
          <w:u w:val="single"/>
        </w:rPr>
        <w:t xml:space="preserve">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监理人指定的接收人为：</w:t>
      </w:r>
      <w:r>
        <w:rPr>
          <w:rFonts w:hint="eastAsia" w:ascii="宋体" w:hAnsi="宋体" w:cs="宋体"/>
          <w:color w:val="000000"/>
          <w:szCs w:val="21"/>
          <w:u w:val="single"/>
        </w:rPr>
        <w:t xml:space="preserve">                                         </w:t>
      </w:r>
      <w:r>
        <w:rPr>
          <w:rFonts w:hint="eastAsia" w:ascii="宋体" w:hAnsi="宋体" w:cs="宋体"/>
          <w:color w:val="000000"/>
          <w:kern w:val="0"/>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1.10 交通运输</w:t>
      </w:r>
    </w:p>
    <w:p>
      <w:pPr>
        <w:spacing w:line="360" w:lineRule="auto"/>
        <w:ind w:firstLine="420" w:firstLineChars="200"/>
        <w:rPr>
          <w:rFonts w:hint="eastAsia" w:ascii="宋体" w:hAnsi="宋体" w:cs="宋体"/>
          <w:szCs w:val="21"/>
        </w:rPr>
      </w:pPr>
      <w:r>
        <w:rPr>
          <w:rFonts w:hint="eastAsia" w:ascii="宋体" w:hAnsi="宋体" w:cs="宋体"/>
          <w:szCs w:val="21"/>
        </w:rPr>
        <w:t>1</w:t>
      </w:r>
      <w:bookmarkStart w:id="636" w:name="_Toc312677986"/>
      <w:bookmarkStart w:id="637" w:name="_Toc303539100"/>
      <w:bookmarkStart w:id="638" w:name="_Toc318581155"/>
      <w:bookmarkStart w:id="639" w:name="_Toc304295521"/>
      <w:bookmarkStart w:id="640" w:name="_Toc300934943"/>
      <w:r>
        <w:rPr>
          <w:rFonts w:hint="eastAsia" w:ascii="宋体" w:hAnsi="宋体" w:cs="宋体"/>
          <w:color w:val="000000"/>
          <w:szCs w:val="21"/>
          <w:highlight w:val="white"/>
        </w:rPr>
        <w:t>.10.1 出入现场的权利</w:t>
      </w:r>
    </w:p>
    <w:p>
      <w:pPr>
        <w:spacing w:line="360" w:lineRule="auto"/>
        <w:ind w:left="596" w:leftChars="284"/>
        <w:rPr>
          <w:rFonts w:hint="eastAsia" w:ascii="宋体" w:hAnsi="宋体" w:eastAsia="宋体" w:cs="宋体"/>
          <w:color w:val="000000"/>
          <w:szCs w:val="21"/>
          <w:highlight w:val="white"/>
          <w:u w:val="single"/>
        </w:rPr>
      </w:pPr>
      <w:r>
        <w:rPr>
          <w:rFonts w:hint="eastAsia" w:ascii="宋体" w:hAnsi="宋体" w:cs="宋体"/>
          <w:color w:val="000000"/>
          <w:szCs w:val="21"/>
          <w:highlight w:val="white"/>
        </w:rPr>
        <w:t>关于出入现场的权利的约定：</w:t>
      </w:r>
      <w:r>
        <w:rPr>
          <w:rFonts w:hint="eastAsia" w:ascii="宋体" w:hAnsi="宋体" w:cs="宋体"/>
          <w:color w:val="000000"/>
          <w:szCs w:val="21"/>
          <w:highlight w:val="white"/>
          <w:u w:val="single"/>
        </w:rPr>
        <w:t xml:space="preserve"> 出入施工场地道路按现状。办理出入施工场地的道路通行权由</w:t>
      </w:r>
      <w:r>
        <w:rPr>
          <w:rFonts w:hint="eastAsia" w:ascii="宋体" w:hAnsi="宋体" w:eastAsia="宋体" w:cs="宋体"/>
          <w:color w:val="000000"/>
          <w:szCs w:val="21"/>
          <w:highlight w:val="white"/>
          <w:u w:val="single"/>
        </w:rPr>
        <w:t>承包人自行负责并承担相关费用。承包人应充分勘察现场，为实施合同工程所需修建的场外设施由承包人负责，费用已包含在合同价款内 。</w:t>
      </w:r>
    </w:p>
    <w:p>
      <w:pPr>
        <w:spacing w:line="360" w:lineRule="auto"/>
        <w:ind w:left="596" w:leftChars="284"/>
        <w:rPr>
          <w:rFonts w:hint="eastAsia" w:ascii="宋体" w:hAnsi="宋体" w:eastAsia="宋体" w:cs="宋体"/>
          <w:color w:val="000000"/>
          <w:szCs w:val="21"/>
          <w:highlight w:val="white"/>
          <w:u w:val="single"/>
        </w:rPr>
      </w:pPr>
      <w:r>
        <w:rPr>
          <w:rFonts w:hint="eastAsia" w:ascii="宋体" w:hAnsi="宋体" w:eastAsia="宋体" w:cs="宋体"/>
          <w:color w:val="000000"/>
          <w:szCs w:val="21"/>
          <w:highlight w:val="white"/>
          <w:u w:val="single"/>
        </w:rPr>
        <w:t>因承包人未合理预见所增加的费用和（或）延误的工期责任由承包人承担。</w:t>
      </w:r>
    </w:p>
    <w:bookmarkEnd w:id="636"/>
    <w:bookmarkEnd w:id="637"/>
    <w:bookmarkEnd w:id="638"/>
    <w:bookmarkEnd w:id="639"/>
    <w:bookmarkEnd w:id="640"/>
    <w:p>
      <w:pPr>
        <w:spacing w:line="360" w:lineRule="auto"/>
        <w:ind w:firstLine="420" w:firstLineChars="200"/>
        <w:jc w:val="left"/>
        <w:rPr>
          <w:rFonts w:hint="eastAsia" w:ascii="宋体" w:hAnsi="宋体" w:cs="宋体"/>
          <w:szCs w:val="21"/>
        </w:rPr>
      </w:pPr>
      <w:r>
        <w:rPr>
          <w:rFonts w:hint="eastAsia" w:ascii="宋体" w:hAnsi="宋体" w:cs="宋体"/>
          <w:szCs w:val="21"/>
        </w:rPr>
        <w:t>1</w:t>
      </w:r>
      <w:bookmarkStart w:id="641" w:name="_Toc312677987"/>
      <w:bookmarkStart w:id="642" w:name="_Toc304295522"/>
      <w:bookmarkStart w:id="643" w:name="_Toc303539101"/>
      <w:bookmarkStart w:id="644" w:name="_Toc318581156"/>
      <w:bookmarkStart w:id="645" w:name="_Toc300934944"/>
      <w:r>
        <w:rPr>
          <w:rFonts w:hint="eastAsia" w:ascii="宋体" w:hAnsi="宋体" w:cs="宋体"/>
          <w:color w:val="000000"/>
          <w:szCs w:val="21"/>
          <w:highlight w:val="white"/>
        </w:rPr>
        <w:t>.10.3 场内交通</w:t>
      </w:r>
    </w:p>
    <w:p>
      <w:pPr>
        <w:spacing w:line="360" w:lineRule="auto"/>
        <w:ind w:firstLine="420" w:firstLineChars="200"/>
        <w:jc w:val="left"/>
        <w:rPr>
          <w:rFonts w:hint="eastAsia" w:ascii="宋体" w:hAnsi="宋体" w:cs="宋体"/>
          <w:kern w:val="0"/>
          <w:szCs w:val="21"/>
        </w:rPr>
      </w:pPr>
      <w:r>
        <w:rPr>
          <w:rFonts w:hint="eastAsia" w:ascii="宋体" w:hAnsi="宋体" w:cs="宋体"/>
          <w:color w:val="000000"/>
          <w:kern w:val="0"/>
          <w:szCs w:val="21"/>
          <w:highlight w:val="white"/>
        </w:rPr>
        <w:t>关于场外交通和场内交通的边界的约定：</w:t>
      </w:r>
      <w:r>
        <w:rPr>
          <w:rFonts w:hint="eastAsia" w:ascii="宋体" w:hAnsi="宋体" w:cs="宋体"/>
          <w:color w:val="000000"/>
          <w:szCs w:val="21"/>
          <w:highlight w:val="white"/>
          <w:u w:val="single"/>
        </w:rPr>
        <w:t xml:space="preserve"> 场区红线为界限 </w:t>
      </w:r>
      <w:r>
        <w:rPr>
          <w:rFonts w:hint="eastAsia" w:ascii="宋体" w:hAnsi="宋体" w:cs="宋体"/>
          <w:color w:val="000000"/>
          <w:szCs w:val="21"/>
          <w:highlight w:val="white"/>
        </w:rPr>
        <w:t>。</w:t>
      </w:r>
    </w:p>
    <w:p>
      <w:pPr>
        <w:spacing w:line="360" w:lineRule="auto"/>
        <w:ind w:left="420" w:leftChars="200"/>
        <w:jc w:val="left"/>
        <w:rPr>
          <w:rFonts w:hint="eastAsia" w:ascii="宋体" w:hAnsi="宋体" w:cs="宋体"/>
          <w:szCs w:val="21"/>
        </w:rPr>
      </w:pPr>
      <w:r>
        <w:rPr>
          <w:rFonts w:hint="eastAsia" w:ascii="宋体" w:hAnsi="宋体" w:cs="宋体"/>
          <w:color w:val="000000"/>
          <w:szCs w:val="21"/>
          <w:highlight w:val="white"/>
        </w:rPr>
        <w:t>关于发包人向承包人免费提供满足工程施工需要的场内道路和交通设施的约定：</w:t>
      </w:r>
      <w:r>
        <w:rPr>
          <w:rFonts w:hint="eastAsia" w:ascii="宋体" w:hAnsi="宋体" w:cs="宋体"/>
          <w:color w:val="000000"/>
          <w:szCs w:val="21"/>
          <w:highlight w:val="white"/>
          <w:u w:val="single"/>
        </w:rPr>
        <w:t xml:space="preserve"> 发包人不提供，由承包人自行考虑 </w:t>
      </w:r>
      <w:r>
        <w:rPr>
          <w:rFonts w:hint="eastAsia" w:ascii="宋体" w:hAnsi="宋体" w:cs="宋体"/>
          <w:color w:val="000000"/>
          <w:szCs w:val="21"/>
          <w:highlight w:val="white"/>
        </w:rPr>
        <w:t>。</w:t>
      </w:r>
      <w:bookmarkEnd w:id="641"/>
      <w:bookmarkEnd w:id="642"/>
      <w:bookmarkEnd w:id="643"/>
      <w:bookmarkEnd w:id="644"/>
      <w:bookmarkEnd w:id="645"/>
      <w:r>
        <w:rPr>
          <w:rFonts w:hint="eastAsia" w:ascii="宋体" w:hAnsi="宋体" w:cs="宋体"/>
          <w:szCs w:val="21"/>
        </w:rPr>
        <w:t xml:space="preserve">  </w:t>
      </w:r>
      <w:bookmarkStart w:id="646" w:name="_Toc318581157"/>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1.10.4超大件和超重件的运输</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运输超大件或超重件所需的道路和桥梁临时加固改造费用和其他有关费用由</w:t>
      </w:r>
      <w:r>
        <w:rPr>
          <w:rFonts w:hint="eastAsia" w:ascii="宋体" w:hAnsi="宋体" w:cs="宋体"/>
          <w:color w:val="000000"/>
          <w:szCs w:val="21"/>
          <w:highlight w:val="white"/>
          <w:u w:val="single"/>
        </w:rPr>
        <w:t xml:space="preserve">  承包人  </w:t>
      </w:r>
      <w:r>
        <w:rPr>
          <w:rFonts w:hint="eastAsia" w:ascii="宋体" w:hAnsi="宋体" w:cs="宋体"/>
          <w:color w:val="000000"/>
          <w:szCs w:val="21"/>
          <w:highlight w:val="white"/>
        </w:rPr>
        <w:t>承担。</w:t>
      </w:r>
    </w:p>
    <w:bookmarkEnd w:id="646"/>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1.11 知识产权</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000000"/>
          <w:szCs w:val="21"/>
          <w:u w:val="single"/>
        </w:rPr>
        <w:t xml:space="preserve"> 按通用条款执行 </w:t>
      </w:r>
      <w:r>
        <w:rPr>
          <w:rFonts w:hint="eastAsia" w:ascii="宋体" w:hAnsi="宋体" w:cs="宋体"/>
          <w:color w:val="000000"/>
          <w:szCs w:val="21"/>
        </w:rPr>
        <w:t>。</w:t>
      </w:r>
    </w:p>
    <w:p>
      <w:pPr>
        <w:spacing w:line="360" w:lineRule="auto"/>
        <w:rPr>
          <w:rFonts w:hint="eastAsia" w:ascii="宋体" w:hAnsi="宋体" w:cs="宋体"/>
          <w:color w:val="000000"/>
          <w:szCs w:val="21"/>
        </w:rPr>
      </w:pPr>
      <w:r>
        <w:rPr>
          <w:rFonts w:hint="eastAsia" w:ascii="宋体" w:hAnsi="宋体" w:cs="宋体"/>
          <w:color w:val="000000"/>
          <w:szCs w:val="21"/>
        </w:rPr>
        <w:t>关于发包人提供的上述文件的使用限制的要求：</w:t>
      </w:r>
      <w:r>
        <w:rPr>
          <w:rFonts w:hint="eastAsia" w:ascii="宋体" w:hAnsi="宋体" w:cs="宋体"/>
          <w:color w:val="000000"/>
          <w:szCs w:val="21"/>
          <w:u w:val="single"/>
        </w:rPr>
        <w:t xml:space="preserve"> 按通用条款执行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1.11.2 关于承包人为实施工程所编制文件的著作权的归属：</w:t>
      </w:r>
      <w:r>
        <w:rPr>
          <w:rFonts w:hint="eastAsia" w:ascii="宋体" w:hAnsi="宋体" w:cs="宋体"/>
          <w:color w:val="000000"/>
          <w:szCs w:val="21"/>
          <w:u w:val="single"/>
        </w:rPr>
        <w:t xml:space="preserve"> 按通用条款执行 </w:t>
      </w:r>
      <w:r>
        <w:rPr>
          <w:rFonts w:hint="eastAsia" w:ascii="宋体" w:hAnsi="宋体" w:cs="宋体"/>
          <w:color w:val="000000"/>
          <w:szCs w:val="21"/>
        </w:rPr>
        <w:t>。</w:t>
      </w:r>
    </w:p>
    <w:p>
      <w:pPr>
        <w:spacing w:line="360" w:lineRule="auto"/>
        <w:rPr>
          <w:rFonts w:hint="eastAsia" w:ascii="宋体" w:hAnsi="宋体" w:cs="宋体"/>
          <w:color w:val="000000"/>
          <w:szCs w:val="21"/>
        </w:rPr>
      </w:pPr>
      <w:r>
        <w:rPr>
          <w:rFonts w:hint="eastAsia" w:ascii="宋体" w:hAnsi="宋体" w:cs="宋体"/>
          <w:color w:val="000000"/>
          <w:szCs w:val="21"/>
        </w:rPr>
        <w:t>关于承包人提供的上述文件的使用限制的要求：</w:t>
      </w:r>
      <w:r>
        <w:rPr>
          <w:rFonts w:hint="eastAsia" w:ascii="宋体" w:hAnsi="宋体" w:cs="宋体"/>
          <w:color w:val="000000"/>
          <w:szCs w:val="21"/>
          <w:u w:val="single"/>
        </w:rPr>
        <w:t xml:space="preserve"> 按通用条款执行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szCs w:val="21"/>
        </w:rPr>
        <w:t>1.11.4 承包人在施工过程</w:t>
      </w:r>
      <w:r>
        <w:rPr>
          <w:rFonts w:hint="eastAsia" w:ascii="宋体" w:hAnsi="宋体" w:cs="宋体"/>
          <w:color w:val="000000"/>
          <w:szCs w:val="21"/>
          <w:highlight w:val="none"/>
        </w:rPr>
        <w:t>中所采用的专利、专有技术、技术秘密的使用费的承担方式：</w:t>
      </w:r>
      <w:r>
        <w:rPr>
          <w:rFonts w:hint="eastAsia" w:ascii="宋体" w:hAnsi="宋体" w:cs="宋体"/>
          <w:color w:val="000000"/>
          <w:szCs w:val="21"/>
          <w:highlight w:val="none"/>
          <w:u w:val="single"/>
        </w:rPr>
        <w:t xml:space="preserve"> 发包人不再另行支付于此相关的任何费用，若在使用过程中，有因采用专利、专有技术或技术秘密等引发的专利权、著作权等纠纷，均由承包人承担相关责任。 </w:t>
      </w:r>
      <w:r>
        <w:rPr>
          <w:rFonts w:hint="eastAsia" w:ascii="宋体" w:hAnsi="宋体" w:cs="宋体"/>
          <w:color w:val="000000"/>
          <w:kern w:val="0"/>
          <w:szCs w:val="21"/>
          <w:highlight w:val="none"/>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1.13工程量清单错误的修正</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出现工程量清单错误时，是否调整合同价格：</w:t>
      </w:r>
      <w:r>
        <w:rPr>
          <w:rFonts w:hint="eastAsia" w:ascii="宋体" w:hAnsi="宋体" w:cs="宋体"/>
          <w:bCs/>
          <w:szCs w:val="21"/>
        </w:rPr>
        <w:t>供应商未填单价或合价的工程项目，在实施后，采购人将不予以支付，并视为该项费用已包含在其他有价款的单价或合价内</w:t>
      </w:r>
      <w:r>
        <w:rPr>
          <w:rFonts w:hint="eastAsia" w:ascii="宋体" w:hAnsi="宋体" w:cs="宋体"/>
          <w:color w:val="000000"/>
          <w:kern w:val="0"/>
          <w:szCs w:val="21"/>
        </w:rPr>
        <w:t>。</w:t>
      </w:r>
    </w:p>
    <w:p>
      <w:pPr>
        <w:spacing w:line="360" w:lineRule="auto"/>
        <w:rPr>
          <w:rFonts w:hint="eastAsia" w:ascii="宋体" w:hAnsi="宋体" w:cs="宋体"/>
          <w:b/>
          <w:color w:val="000000"/>
          <w:szCs w:val="21"/>
        </w:rPr>
      </w:pPr>
      <w:bookmarkStart w:id="647" w:name="_Toc394329411"/>
      <w:bookmarkStart w:id="648" w:name="_Toc393093282"/>
      <w:bookmarkStart w:id="649" w:name="_Toc351203634"/>
      <w:bookmarkStart w:id="650" w:name="_Toc389066714"/>
      <w:bookmarkStart w:id="651" w:name="_Toc389146881"/>
      <w:bookmarkStart w:id="652" w:name="_Toc392078588"/>
      <w:r>
        <w:rPr>
          <w:rFonts w:hint="eastAsia" w:ascii="宋体" w:hAnsi="宋体" w:cs="宋体"/>
          <w:b/>
          <w:color w:val="000000"/>
          <w:szCs w:val="21"/>
          <w:highlight w:val="white"/>
        </w:rPr>
        <w:t>2</w:t>
      </w:r>
      <w:bookmarkStart w:id="653" w:name="_Toc297120457"/>
      <w:bookmarkStart w:id="654" w:name="_Toc297048343"/>
      <w:bookmarkStart w:id="655" w:name="_Toc292559362"/>
      <w:bookmarkStart w:id="656" w:name="_Toc296347156"/>
      <w:bookmarkStart w:id="657" w:name="_Toc296503157"/>
      <w:bookmarkStart w:id="658" w:name="_Toc296890985"/>
      <w:bookmarkStart w:id="659" w:name="_Toc296944496"/>
      <w:bookmarkStart w:id="660" w:name="_Toc296346658"/>
      <w:bookmarkStart w:id="661" w:name="_Toc296891197"/>
      <w:bookmarkStart w:id="662" w:name="_Toc292559867"/>
      <w:r>
        <w:rPr>
          <w:rFonts w:hint="eastAsia" w:ascii="宋体" w:hAnsi="宋体" w:cs="宋体"/>
          <w:b/>
          <w:color w:val="000000"/>
          <w:szCs w:val="21"/>
          <w:highlight w:val="white"/>
        </w:rPr>
        <w:t>. 发包人</w:t>
      </w:r>
      <w:bookmarkEnd w:id="647"/>
      <w:bookmarkEnd w:id="648"/>
      <w:bookmarkEnd w:id="649"/>
      <w:bookmarkEnd w:id="650"/>
      <w:bookmarkEnd w:id="651"/>
      <w:bookmarkEnd w:id="652"/>
    </w:p>
    <w:bookmarkEnd w:id="653"/>
    <w:bookmarkEnd w:id="654"/>
    <w:bookmarkEnd w:id="655"/>
    <w:bookmarkEnd w:id="656"/>
    <w:bookmarkEnd w:id="657"/>
    <w:bookmarkEnd w:id="658"/>
    <w:bookmarkEnd w:id="659"/>
    <w:bookmarkEnd w:id="660"/>
    <w:bookmarkEnd w:id="661"/>
    <w:bookmarkEnd w:id="662"/>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2.2 发包人代表</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发包人代表：</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姓    名：</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身份证号：</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职    务：</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b/>
          <w:color w:val="000000"/>
          <w:szCs w:val="21"/>
        </w:rPr>
      </w:pPr>
      <w:r>
        <w:rPr>
          <w:rFonts w:hint="eastAsia" w:ascii="宋体" w:hAnsi="宋体" w:cs="宋体"/>
          <w:color w:val="000000"/>
          <w:szCs w:val="21"/>
        </w:rPr>
        <w:t>发包人对发包人代表的授权范围如下：</w:t>
      </w:r>
      <w:r>
        <w:rPr>
          <w:rFonts w:hint="eastAsia" w:ascii="宋体" w:hAnsi="宋体" w:cs="宋体"/>
          <w:color w:val="000000"/>
          <w:szCs w:val="21"/>
          <w:u w:val="single"/>
        </w:rPr>
        <w:t xml:space="preserve"> 行使发包人的权利，但设计、施工变更、工程价款结算、工程质量等需由发包人盖章确认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2.4 施工现场、施工条件和基础资料的提供</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2.4.1 提供施工现场</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关于发包人移交施工现场的期限要求：</w:t>
      </w:r>
      <w:r>
        <w:rPr>
          <w:rFonts w:hint="eastAsia" w:ascii="宋体" w:hAnsi="宋体" w:cs="宋体"/>
          <w:color w:val="000000"/>
          <w:szCs w:val="21"/>
          <w:u w:val="single"/>
        </w:rPr>
        <w:t xml:space="preserve"> 根据双方确定的施工组织计划，于具体施工工程开工前分批、分部进行移交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2.4.2 提供施工条件</w:t>
      </w:r>
    </w:p>
    <w:p>
      <w:pPr>
        <w:spacing w:line="360" w:lineRule="auto"/>
        <w:ind w:firstLine="420" w:firstLineChars="200"/>
        <w:jc w:val="left"/>
        <w:rPr>
          <w:rFonts w:hint="eastAsia" w:ascii="宋体" w:hAnsi="宋体" w:cs="宋体"/>
          <w:color w:val="000000"/>
          <w:szCs w:val="21"/>
          <w:u w:val="single"/>
        </w:rPr>
      </w:pPr>
      <w:r>
        <w:rPr>
          <w:rFonts w:hint="eastAsia" w:ascii="宋体" w:hAnsi="宋体" w:cs="宋体"/>
          <w:color w:val="000000"/>
          <w:szCs w:val="21"/>
        </w:rPr>
        <w:t>关于发包人应负责提供施工所需要的条件，包括：</w:t>
      </w:r>
      <w:r>
        <w:rPr>
          <w:rFonts w:hint="eastAsia" w:ascii="宋体" w:hAnsi="宋体" w:cs="宋体"/>
          <w:color w:val="000000"/>
          <w:szCs w:val="21"/>
          <w:u w:val="single"/>
        </w:rPr>
        <w:t xml:space="preserve"> 发包人指定水、电、通讯线路的接驳地点，施工临时水电费、施工便道、通讯设施及符合安全等相关管理规定的接驳线路由承包人自行负责，费用已包含在合同价中，发包人不另行计量支付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2.5 资金来源证明及支付担保</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发包人提供资金来源证明的期限要求：无。</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发包人是否提供支付担保：不提供。</w:t>
      </w:r>
    </w:p>
    <w:p>
      <w:pPr>
        <w:spacing w:line="360" w:lineRule="auto"/>
        <w:ind w:firstLine="420" w:firstLineChars="200"/>
        <w:rPr>
          <w:rFonts w:hint="eastAsia" w:ascii="宋体" w:hAnsi="宋体" w:cs="宋体"/>
          <w:color w:val="000000"/>
          <w:szCs w:val="21"/>
          <w:u w:val="single"/>
        </w:rPr>
      </w:pPr>
    </w:p>
    <w:p>
      <w:pPr>
        <w:spacing w:line="360" w:lineRule="auto"/>
        <w:rPr>
          <w:rFonts w:hint="eastAsia" w:ascii="宋体" w:hAnsi="宋体" w:cs="宋体"/>
          <w:b/>
          <w:color w:val="000000"/>
          <w:szCs w:val="21"/>
        </w:rPr>
      </w:pPr>
      <w:bookmarkStart w:id="663" w:name="_Toc394329412"/>
      <w:bookmarkStart w:id="664" w:name="_Toc392078589"/>
      <w:bookmarkStart w:id="665" w:name="_Toc389146882"/>
      <w:bookmarkStart w:id="666" w:name="_Toc389066715"/>
      <w:bookmarkStart w:id="667" w:name="_Toc393093283"/>
      <w:bookmarkStart w:id="668" w:name="_Toc351203635"/>
      <w:r>
        <w:rPr>
          <w:rFonts w:hint="eastAsia" w:ascii="宋体" w:hAnsi="宋体" w:cs="宋体"/>
          <w:b/>
          <w:color w:val="000000"/>
          <w:szCs w:val="21"/>
          <w:highlight w:val="white"/>
        </w:rPr>
        <w:t>3</w:t>
      </w:r>
      <w:bookmarkStart w:id="669" w:name="_Toc296891198"/>
      <w:bookmarkStart w:id="670" w:name="_Toc297048344"/>
      <w:bookmarkStart w:id="671" w:name="_Toc292559363"/>
      <w:bookmarkStart w:id="672" w:name="_Toc296944497"/>
      <w:bookmarkStart w:id="673" w:name="_Toc292559868"/>
      <w:bookmarkStart w:id="674" w:name="_Toc296503158"/>
      <w:bookmarkStart w:id="675" w:name="_Toc296890986"/>
      <w:bookmarkStart w:id="676" w:name="_Toc296347157"/>
      <w:bookmarkStart w:id="677" w:name="_Toc297120458"/>
      <w:bookmarkStart w:id="678" w:name="_Toc296346659"/>
      <w:r>
        <w:rPr>
          <w:rFonts w:hint="eastAsia" w:ascii="宋体" w:hAnsi="宋体" w:cs="宋体"/>
          <w:b/>
          <w:color w:val="000000"/>
          <w:szCs w:val="21"/>
          <w:highlight w:val="white"/>
        </w:rPr>
        <w:t>. 承包人</w:t>
      </w:r>
      <w:bookmarkEnd w:id="663"/>
      <w:bookmarkEnd w:id="664"/>
      <w:bookmarkEnd w:id="665"/>
      <w:bookmarkEnd w:id="666"/>
      <w:bookmarkEnd w:id="667"/>
      <w:bookmarkEnd w:id="668"/>
    </w:p>
    <w:bookmarkEnd w:id="669"/>
    <w:bookmarkEnd w:id="670"/>
    <w:bookmarkEnd w:id="671"/>
    <w:bookmarkEnd w:id="672"/>
    <w:bookmarkEnd w:id="673"/>
    <w:bookmarkEnd w:id="674"/>
    <w:bookmarkEnd w:id="675"/>
    <w:bookmarkEnd w:id="676"/>
    <w:bookmarkEnd w:id="677"/>
    <w:bookmarkEnd w:id="678"/>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3.1 承包人的一般义务</w:t>
      </w:r>
    </w:p>
    <w:p>
      <w:pPr>
        <w:spacing w:line="360" w:lineRule="auto"/>
        <w:jc w:val="left"/>
        <w:rPr>
          <w:rFonts w:hint="eastAsia" w:ascii="宋体" w:hAnsi="宋体" w:cs="宋体"/>
          <w:color w:val="000000"/>
          <w:szCs w:val="21"/>
        </w:rPr>
      </w:pPr>
      <w:r>
        <w:rPr>
          <w:rFonts w:hint="eastAsia" w:ascii="宋体" w:hAnsi="宋体" w:cs="宋体"/>
          <w:color w:val="000000"/>
          <w:szCs w:val="21"/>
        </w:rPr>
        <w:t>承包人提交的竣工资料的内容：</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jc w:val="left"/>
        <w:rPr>
          <w:rFonts w:hint="eastAsia" w:ascii="宋体" w:hAnsi="宋体" w:cs="宋体"/>
          <w:color w:val="000000"/>
          <w:szCs w:val="21"/>
        </w:rPr>
      </w:pPr>
      <w:r>
        <w:rPr>
          <w:rFonts w:hint="eastAsia" w:ascii="宋体" w:hAnsi="宋体" w:cs="宋体"/>
          <w:color w:val="000000"/>
          <w:szCs w:val="21"/>
        </w:rPr>
        <w:t>承包人需要提交的竣工资料套数：</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jc w:val="left"/>
        <w:rPr>
          <w:rFonts w:hint="eastAsia" w:ascii="宋体" w:hAnsi="宋体" w:cs="宋体"/>
          <w:color w:val="000000"/>
          <w:szCs w:val="21"/>
        </w:rPr>
      </w:pPr>
      <w:r>
        <w:rPr>
          <w:rFonts w:hint="eastAsia" w:ascii="宋体" w:hAnsi="宋体" w:cs="宋体"/>
          <w:color w:val="000000"/>
          <w:szCs w:val="21"/>
        </w:rPr>
        <w:t>承包人提交的竣工资料的费用承担：</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jc w:val="left"/>
        <w:rPr>
          <w:rFonts w:hint="eastAsia" w:ascii="宋体" w:hAnsi="宋体" w:cs="宋体"/>
          <w:color w:val="000000"/>
          <w:szCs w:val="21"/>
        </w:rPr>
      </w:pPr>
      <w:r>
        <w:rPr>
          <w:rFonts w:hint="eastAsia" w:ascii="宋体" w:hAnsi="宋体" w:cs="宋体"/>
          <w:color w:val="000000"/>
          <w:szCs w:val="21"/>
        </w:rPr>
        <w:t>承包人提交的竣工资料移交时间：</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jc w:val="left"/>
        <w:rPr>
          <w:rFonts w:hint="eastAsia" w:ascii="宋体" w:hAnsi="宋体" w:cs="宋体"/>
          <w:color w:val="000000"/>
          <w:szCs w:val="21"/>
        </w:rPr>
      </w:pPr>
      <w:r>
        <w:rPr>
          <w:rFonts w:hint="eastAsia" w:ascii="宋体" w:hAnsi="宋体" w:cs="宋体"/>
          <w:color w:val="000000"/>
          <w:szCs w:val="21"/>
        </w:rPr>
        <w:t>承包人提交的竣工资料形式要求：</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rPr>
          <w:rFonts w:hint="eastAsia" w:ascii="宋体" w:hAnsi="宋体" w:cs="宋体"/>
          <w:kern w:val="0"/>
          <w:szCs w:val="21"/>
        </w:rPr>
      </w:pPr>
      <w:r>
        <w:rPr>
          <w:rFonts w:hint="eastAsia" w:ascii="宋体" w:hAnsi="宋体" w:cs="宋体"/>
          <w:kern w:val="0"/>
          <w:szCs w:val="21"/>
        </w:rPr>
        <w:t>承包人应履行的其他义务：</w:t>
      </w:r>
    </w:p>
    <w:p>
      <w:pPr>
        <w:numPr>
          <w:ilvl w:val="0"/>
          <w:numId w:val="17"/>
        </w:numPr>
        <w:spacing w:line="360" w:lineRule="auto"/>
        <w:rPr>
          <w:rFonts w:hint="eastAsia" w:ascii="宋体" w:hAnsi="宋体" w:cs="宋体"/>
          <w:szCs w:val="21"/>
        </w:rPr>
      </w:pPr>
      <w:r>
        <w:rPr>
          <w:rFonts w:hint="eastAsia" w:ascii="宋体" w:hAnsi="宋体" w:cs="宋体"/>
          <w:szCs w:val="21"/>
        </w:rPr>
        <w:t>施工用水、用电及通讯由承包人负责接驳，其费用包含在合同价中。</w:t>
      </w:r>
    </w:p>
    <w:p>
      <w:pPr>
        <w:numPr>
          <w:ilvl w:val="0"/>
          <w:numId w:val="17"/>
        </w:numPr>
        <w:spacing w:line="360" w:lineRule="auto"/>
        <w:rPr>
          <w:rFonts w:hint="eastAsia" w:ascii="宋体" w:hAnsi="宋体" w:cs="宋体"/>
          <w:szCs w:val="21"/>
        </w:rPr>
      </w:pPr>
      <w:r>
        <w:rPr>
          <w:rFonts w:hint="eastAsia" w:ascii="宋体" w:hAnsi="宋体" w:cs="宋体"/>
          <w:szCs w:val="21"/>
        </w:rPr>
        <w:t>承包人须按发包人要求签订廉政责任书、安全协议书等（如有）。</w:t>
      </w:r>
    </w:p>
    <w:p>
      <w:pPr>
        <w:numPr>
          <w:ilvl w:val="0"/>
          <w:numId w:val="17"/>
        </w:numPr>
        <w:spacing w:line="360" w:lineRule="auto"/>
        <w:rPr>
          <w:rFonts w:hint="eastAsia" w:ascii="宋体" w:hAnsi="宋体" w:cs="宋体"/>
          <w:szCs w:val="21"/>
        </w:rPr>
      </w:pPr>
      <w:r>
        <w:rPr>
          <w:rFonts w:hint="eastAsia" w:ascii="宋体" w:hAnsi="宋体" w:cs="宋体"/>
          <w:szCs w:val="21"/>
        </w:rPr>
        <w:t>按发包人要求提供月工程进度计划和工程事故报告。</w:t>
      </w:r>
    </w:p>
    <w:p>
      <w:pPr>
        <w:numPr>
          <w:ilvl w:val="0"/>
          <w:numId w:val="17"/>
        </w:numPr>
        <w:spacing w:line="360" w:lineRule="auto"/>
        <w:rPr>
          <w:rFonts w:hint="eastAsia" w:ascii="宋体" w:hAnsi="宋体" w:cs="宋体"/>
          <w:szCs w:val="21"/>
        </w:rPr>
      </w:pPr>
      <w:r>
        <w:rPr>
          <w:rFonts w:hint="eastAsia" w:ascii="宋体" w:hAnsi="宋体" w:cs="宋体"/>
          <w:szCs w:val="21"/>
        </w:rPr>
        <w:t>施工过程中不得随意占用施工范围外现有道路，以免影响正常通车和行人。若对现有道路设施损坏，承包人须及时修复，发包人不予承担费用。</w:t>
      </w:r>
    </w:p>
    <w:p>
      <w:pPr>
        <w:numPr>
          <w:ilvl w:val="0"/>
          <w:numId w:val="17"/>
        </w:numPr>
        <w:spacing w:line="360" w:lineRule="auto"/>
        <w:rPr>
          <w:rFonts w:hint="eastAsia" w:ascii="宋体" w:hAnsi="宋体" w:cs="宋体"/>
          <w:szCs w:val="21"/>
        </w:rPr>
      </w:pPr>
      <w:r>
        <w:rPr>
          <w:rFonts w:hint="eastAsia" w:ascii="宋体" w:hAnsi="宋体" w:cs="宋体"/>
          <w:szCs w:val="21"/>
        </w:rPr>
        <w:t>承担施工安全保卫工作及非夜间施工照明的责任和要求：根据工程项目需要，提供和维修非夜间施工使用的照明、围栏设施，并负责施工现场的安全保卫；</w:t>
      </w:r>
    </w:p>
    <w:p>
      <w:pPr>
        <w:numPr>
          <w:ilvl w:val="0"/>
          <w:numId w:val="17"/>
        </w:numPr>
        <w:spacing w:line="360" w:lineRule="auto"/>
        <w:rPr>
          <w:rFonts w:hint="eastAsia" w:ascii="宋体" w:hAnsi="宋体" w:cs="宋体"/>
          <w:szCs w:val="21"/>
        </w:rPr>
      </w:pPr>
      <w:r>
        <w:rPr>
          <w:rFonts w:hint="eastAsia" w:ascii="宋体" w:hAnsi="宋体" w:cs="宋体"/>
          <w:szCs w:val="21"/>
        </w:rPr>
        <w:t>需承包人办理的有关施工场地交通、环卫和施工噪音管理等手续：应根据施工现场的具体条件相应符合相关管理部门的要求。</w:t>
      </w:r>
    </w:p>
    <w:p>
      <w:pPr>
        <w:numPr>
          <w:ilvl w:val="0"/>
          <w:numId w:val="17"/>
        </w:numPr>
        <w:spacing w:line="360" w:lineRule="auto"/>
        <w:rPr>
          <w:rFonts w:hint="eastAsia" w:ascii="宋体" w:hAnsi="宋体" w:cs="宋体"/>
          <w:szCs w:val="21"/>
        </w:rPr>
      </w:pPr>
      <w:r>
        <w:rPr>
          <w:rFonts w:hint="eastAsia" w:ascii="宋体" w:hAnsi="宋体" w:cs="宋体"/>
          <w:szCs w:val="21"/>
        </w:rPr>
        <w:t>按照国家有关安全条例和当地有关部门的规定对施工现场和施工方法采取有效的安全措施，确保安全施工。任何因承包人原因造成的工程、财产和人身伤害及安全事故，由承包人承担一切经济及法律责任并负责事后补救。</w:t>
      </w:r>
    </w:p>
    <w:p>
      <w:pPr>
        <w:numPr>
          <w:ilvl w:val="0"/>
          <w:numId w:val="17"/>
        </w:numPr>
        <w:spacing w:line="360" w:lineRule="auto"/>
        <w:rPr>
          <w:rFonts w:hint="eastAsia" w:ascii="宋体" w:hAnsi="宋体" w:cs="宋体"/>
          <w:szCs w:val="21"/>
        </w:rPr>
      </w:pPr>
      <w:r>
        <w:rPr>
          <w:rFonts w:hint="eastAsia" w:ascii="宋体" w:hAnsi="宋体" w:cs="宋体"/>
          <w:szCs w:val="21"/>
        </w:rPr>
        <w:t>承包人要按有关规定建立、健全工程安全施工、保卫、防护制度和措施，做到文明、安全施工。在工程建设期间，承包人因制度不严、管理不善、措施不力等不可抗力以外的原因造成人员伤亡、财产损失、破坏等安全事故，由承包人承担全部的经济和法律责任。一旦发生安全事故，承包人应立即向发包人和有关部门报告。</w:t>
      </w:r>
    </w:p>
    <w:p>
      <w:pPr>
        <w:numPr>
          <w:ilvl w:val="0"/>
          <w:numId w:val="17"/>
        </w:numPr>
        <w:spacing w:line="360" w:lineRule="auto"/>
        <w:rPr>
          <w:rFonts w:hint="eastAsia" w:ascii="宋体" w:hAnsi="宋体" w:cs="宋体"/>
          <w:szCs w:val="21"/>
        </w:rPr>
      </w:pPr>
      <w:r>
        <w:rPr>
          <w:rFonts w:hint="eastAsia" w:ascii="宋体" w:hAnsi="宋体" w:cs="宋体"/>
          <w:szCs w:val="21"/>
        </w:rPr>
        <w:t>承包人应遵守工程建设安全生产、文明施工有关管理规定，严格按安全标准组织施工，确保从业人员生命和财产安全，并随时接受行业安全检查人员依法实施的监督检查，采取必要的安全防护措施，消除事故隐患。按各分部分项工程投入足够的安全防护、文明施工措施费，并在财务报表中单项列明备查，承包人在施工期间采取的安全防护、文明施工措施费所产生的费用已包含在合同价中。</w:t>
      </w:r>
    </w:p>
    <w:p>
      <w:pPr>
        <w:numPr>
          <w:ilvl w:val="0"/>
          <w:numId w:val="17"/>
        </w:numPr>
        <w:spacing w:line="360" w:lineRule="auto"/>
        <w:rPr>
          <w:rFonts w:hint="eastAsia" w:ascii="宋体" w:hAnsi="宋体" w:cs="宋体"/>
          <w:szCs w:val="21"/>
        </w:rPr>
      </w:pPr>
      <w:r>
        <w:rPr>
          <w:rFonts w:hint="eastAsia" w:ascii="宋体" w:hAnsi="宋体" w:cs="宋体"/>
          <w:szCs w:val="21"/>
        </w:rPr>
        <w:t>承包人提供施工组织设计（施工方案）和进度计划的时间：开工前3天。对监理工程师和发包人提出的修改建议，承包人应及时采纳后重新提交并经发包人批准。经发包人审定后由发包人下达书面开工令。</w:t>
      </w:r>
    </w:p>
    <w:p>
      <w:pPr>
        <w:numPr>
          <w:ilvl w:val="0"/>
          <w:numId w:val="17"/>
        </w:numPr>
        <w:spacing w:line="360" w:lineRule="auto"/>
        <w:rPr>
          <w:rFonts w:hint="eastAsia" w:ascii="宋体" w:hAnsi="宋体" w:cs="宋体"/>
          <w:szCs w:val="21"/>
        </w:rPr>
      </w:pPr>
      <w:r>
        <w:rPr>
          <w:rFonts w:hint="eastAsia" w:ascii="宋体" w:hAnsi="宋体" w:cs="宋体"/>
          <w:szCs w:val="21"/>
        </w:rPr>
        <w:t>承包人必须按发包人确认的进度计划组织施工，接受工程师对进度的检查、监督。工程实际进度与经确认的进度计划不符时，承包人应无条件地按发包人的要求提出改进措施，经发包人确认后执行，确保工程的施工进度。</w:t>
      </w:r>
    </w:p>
    <w:p>
      <w:pPr>
        <w:numPr>
          <w:ilvl w:val="0"/>
          <w:numId w:val="17"/>
        </w:numPr>
        <w:spacing w:line="360" w:lineRule="auto"/>
        <w:rPr>
          <w:rFonts w:hint="eastAsia" w:ascii="宋体" w:hAnsi="宋体" w:cs="宋体"/>
          <w:szCs w:val="21"/>
        </w:rPr>
      </w:pPr>
      <w:r>
        <w:rPr>
          <w:rFonts w:hint="eastAsia" w:ascii="宋体" w:hAnsi="宋体" w:cs="宋体"/>
          <w:szCs w:val="21"/>
        </w:rPr>
        <w:t>在本工程施工期间，承包人所委派的项目负责人和其他主要管理人员必须到驻现场，没有发包人的批准不得擅自离开，否则，将给予承包人￥</w:t>
      </w:r>
      <w:r>
        <w:rPr>
          <w:rFonts w:hint="eastAsia" w:ascii="宋体" w:hAnsi="宋体" w:cs="宋体"/>
          <w:szCs w:val="21"/>
          <w:lang w:val="en-US" w:eastAsia="zh-CN"/>
        </w:rPr>
        <w:t>5</w:t>
      </w:r>
      <w:r>
        <w:rPr>
          <w:rFonts w:hint="eastAsia" w:ascii="宋体" w:hAnsi="宋体" w:cs="宋体"/>
          <w:szCs w:val="21"/>
        </w:rPr>
        <w:t>00元/天的经济处罚。承包人如需更换项目负责人，应至少提前7天以书面形式向发包人提出申请，并提供后任者的资质、业绩证明文件，未征得发包人的书面同意，承包人不得更换项目负责人。后任项目负责人继续行使合同文件约定的前任项目负责人的职务，履行前任项目负责人的义务。</w:t>
      </w:r>
    </w:p>
    <w:p>
      <w:pPr>
        <w:numPr>
          <w:ilvl w:val="0"/>
          <w:numId w:val="17"/>
        </w:numPr>
        <w:spacing w:line="360" w:lineRule="auto"/>
        <w:rPr>
          <w:rFonts w:hint="eastAsia" w:ascii="宋体" w:hAnsi="宋体" w:cs="宋体"/>
          <w:szCs w:val="21"/>
        </w:rPr>
      </w:pPr>
      <w:r>
        <w:rPr>
          <w:rFonts w:hint="eastAsia" w:ascii="宋体" w:hAnsi="宋体" w:cs="宋体"/>
          <w:szCs w:val="21"/>
        </w:rPr>
        <w:t>对承包人单方面作出的实质性更换项目负责人的行为（如项目负责人长期不到现场等），发包人有权以任何方式（包括但不限于停工整改）要求作出改正及给予经济处罚。</w:t>
      </w:r>
    </w:p>
    <w:p>
      <w:pPr>
        <w:numPr>
          <w:ilvl w:val="0"/>
          <w:numId w:val="17"/>
        </w:numPr>
        <w:spacing w:line="360" w:lineRule="auto"/>
        <w:rPr>
          <w:rFonts w:hint="eastAsia" w:ascii="宋体" w:hAnsi="宋体" w:cs="宋体"/>
          <w:szCs w:val="21"/>
        </w:rPr>
      </w:pPr>
      <w:r>
        <w:rPr>
          <w:rFonts w:hint="eastAsia" w:ascii="宋体" w:hAnsi="宋体" w:cs="宋体"/>
          <w:szCs w:val="21"/>
        </w:rPr>
        <w:t>发包人可以与承包人协商，要求其更换认为不称职的项目负责人，承包人应及时采纳发包人的建议予以更换。</w:t>
      </w:r>
    </w:p>
    <w:p>
      <w:pPr>
        <w:numPr>
          <w:ilvl w:val="0"/>
          <w:numId w:val="17"/>
        </w:numPr>
        <w:spacing w:line="360" w:lineRule="auto"/>
        <w:rPr>
          <w:rFonts w:hint="eastAsia" w:ascii="宋体" w:hAnsi="宋体" w:cs="宋体"/>
          <w:szCs w:val="21"/>
        </w:rPr>
      </w:pPr>
      <w:r>
        <w:rPr>
          <w:rFonts w:hint="eastAsia" w:ascii="宋体" w:hAnsi="宋体" w:cs="宋体"/>
          <w:szCs w:val="21"/>
        </w:rPr>
        <w:t>承包人应指定一位具备相应资质的专职人员负责工地的安全文明施工工作，其施工、工作人员应遵守工地的安全、防火、保卫、文明施工制度和有关规定，不得损坏现场和建筑成品。承包人必须了解清楚附近建构筑物情况，保证施工期间不因为施工原因使附近建构筑物在施工期间及之后受到影响，如属承包人造成的破坏和损失，责任由承包人承担。</w:t>
      </w:r>
    </w:p>
    <w:p>
      <w:pPr>
        <w:numPr>
          <w:ilvl w:val="0"/>
          <w:numId w:val="17"/>
        </w:numPr>
        <w:spacing w:line="360" w:lineRule="auto"/>
        <w:rPr>
          <w:rFonts w:hint="eastAsia" w:ascii="宋体" w:hAnsi="宋体" w:cs="宋体"/>
          <w:szCs w:val="21"/>
        </w:rPr>
      </w:pPr>
      <w:r>
        <w:rPr>
          <w:rFonts w:hint="eastAsia" w:ascii="宋体" w:hAnsi="宋体" w:cs="宋体"/>
          <w:szCs w:val="21"/>
        </w:rPr>
        <w:t>承包人要进入非本项目工地施工时，应提出书面申请，经相关发包人及项目监理单位同意后方可施工。否则，安全事故问题由其自行负责。</w:t>
      </w:r>
    </w:p>
    <w:p>
      <w:pPr>
        <w:numPr>
          <w:ilvl w:val="0"/>
          <w:numId w:val="17"/>
        </w:numPr>
        <w:spacing w:line="360" w:lineRule="auto"/>
        <w:rPr>
          <w:rFonts w:hint="eastAsia" w:ascii="宋体" w:hAnsi="宋体" w:cs="宋体"/>
          <w:szCs w:val="21"/>
        </w:rPr>
      </w:pPr>
      <w:r>
        <w:rPr>
          <w:rFonts w:hint="eastAsia" w:ascii="宋体" w:hAnsi="宋体" w:cs="宋体"/>
          <w:szCs w:val="21"/>
        </w:rPr>
        <w:t>验收交付前的设备及施工材料在现场的安全保管责任由承包人承担。保修期内，在非人为因素情况下，设备、产品及整体工程出现任何质量问题，由承包人负责及时处理和免费维护、维修，一切维修换件和备品备件（含所有零配件及耗材）均由承包人免费提供。</w:t>
      </w:r>
    </w:p>
    <w:p>
      <w:pPr>
        <w:numPr>
          <w:ilvl w:val="0"/>
          <w:numId w:val="17"/>
        </w:numPr>
        <w:spacing w:line="360" w:lineRule="auto"/>
        <w:rPr>
          <w:rFonts w:hint="eastAsia" w:ascii="宋体" w:hAnsi="宋体" w:cs="宋体"/>
          <w:szCs w:val="21"/>
        </w:rPr>
      </w:pPr>
      <w:r>
        <w:rPr>
          <w:rFonts w:hint="eastAsia" w:ascii="宋体" w:hAnsi="宋体" w:cs="宋体"/>
          <w:szCs w:val="21"/>
        </w:rPr>
        <w:t>因承包人责任过失造成的一切工程质量问题，由承包人负责赔偿，并负责整改、维修。因承包人责任过失造成重大质量事故，除承包人承担赔偿责任并负责整改、维修外，发包人要对承包人处以罚款。</w:t>
      </w:r>
    </w:p>
    <w:p>
      <w:pPr>
        <w:numPr>
          <w:ilvl w:val="0"/>
          <w:numId w:val="17"/>
        </w:numPr>
        <w:spacing w:line="360" w:lineRule="auto"/>
        <w:rPr>
          <w:rFonts w:hint="eastAsia" w:ascii="宋体" w:hAnsi="宋体" w:cs="宋体"/>
          <w:szCs w:val="21"/>
        </w:rPr>
      </w:pPr>
      <w:r>
        <w:rPr>
          <w:rFonts w:hint="eastAsia" w:ascii="宋体" w:hAnsi="宋体" w:cs="宋体"/>
          <w:szCs w:val="21"/>
        </w:rPr>
        <w:t>因承包人责任过失造成重大安全事故，除承包人承担赔偿责任外，发包人要对承包人处罚：特别重大事故，罚款￥10万元；重大事故，罚款￥5万元；较大事故，罚款￥2万元；一般事故，罚款￥1万元。但本条款不免除国家、省、市有关法规、制度规定的义务和责任。</w:t>
      </w:r>
    </w:p>
    <w:p>
      <w:pPr>
        <w:numPr>
          <w:ilvl w:val="0"/>
          <w:numId w:val="17"/>
        </w:numPr>
        <w:spacing w:line="360" w:lineRule="auto"/>
        <w:rPr>
          <w:rFonts w:hint="eastAsia" w:ascii="宋体" w:hAnsi="宋体" w:cs="宋体"/>
          <w:szCs w:val="21"/>
        </w:rPr>
      </w:pPr>
      <w:r>
        <w:rPr>
          <w:rFonts w:hint="eastAsia" w:ascii="宋体" w:hAnsi="宋体" w:cs="宋体"/>
          <w:szCs w:val="21"/>
        </w:rPr>
        <w:t>承包人应及时上报“质量问题报告单”，并抄报发包人和项目监理单位各一份；对于一般质量事故，由承包人研究处理，填写事故报告一份报项目监理单位；对于较大质量事故，由承包人出面组织有关单位研究处理方案，报发包人批准后方可进行事故处理。待事故处理完毕后，经项目总监理工程师复查，确认无误，方可继续施工。</w:t>
      </w:r>
    </w:p>
    <w:p>
      <w:pPr>
        <w:numPr>
          <w:ilvl w:val="0"/>
          <w:numId w:val="17"/>
        </w:numPr>
        <w:spacing w:line="360" w:lineRule="auto"/>
        <w:rPr>
          <w:rFonts w:hint="eastAsia" w:ascii="宋体" w:hAnsi="宋体" w:cs="宋体"/>
          <w:szCs w:val="21"/>
        </w:rPr>
      </w:pPr>
      <w:r>
        <w:rPr>
          <w:rFonts w:hint="eastAsia" w:ascii="宋体" w:hAnsi="宋体" w:cs="宋体"/>
          <w:szCs w:val="21"/>
        </w:rPr>
        <w:t>本合同约定承包人违约应承担的违约责任：承包人未按要求履行合同义务时，须从违约之日起每日按合同总额的2‰比例向发包人支付违约金，累计不超过合同总额的10%；逾期15日以上时，发包人有权终止合同，由此造成发包人的经济损失由承包人承担。违约金不足以弥补损失的，承包人应按全额赔偿</w:t>
      </w:r>
      <w:r>
        <w:rPr>
          <w:rFonts w:hint="eastAsia" w:ascii="宋体" w:hAnsi="宋体" w:cs="宋体"/>
          <w:szCs w:val="21"/>
          <w:lang w:eastAsia="zh-CN"/>
        </w:rPr>
        <w:t>。</w:t>
      </w:r>
    </w:p>
    <w:p>
      <w:pPr>
        <w:numPr>
          <w:ilvl w:val="0"/>
          <w:numId w:val="17"/>
        </w:numPr>
        <w:spacing w:line="360" w:lineRule="auto"/>
        <w:rPr>
          <w:rFonts w:hint="eastAsia" w:ascii="宋体" w:hAnsi="宋体" w:cs="宋体"/>
          <w:szCs w:val="21"/>
        </w:rPr>
      </w:pPr>
      <w:r>
        <w:rPr>
          <w:rFonts w:hint="eastAsia" w:ascii="宋体" w:hAnsi="宋体" w:cs="宋体"/>
          <w:szCs w:val="21"/>
        </w:rPr>
        <w:t>承包人必须建立完善的质量自检体系，对已完工程进行严格的质量自检，只有自检合格的工程才能向监理工程师和发包人提出验收和计量的申请。</w:t>
      </w:r>
    </w:p>
    <w:p>
      <w:pPr>
        <w:numPr>
          <w:ilvl w:val="0"/>
          <w:numId w:val="17"/>
        </w:numPr>
        <w:spacing w:line="360" w:lineRule="auto"/>
        <w:rPr>
          <w:rFonts w:hint="eastAsia" w:ascii="宋体" w:hAnsi="宋体" w:cs="宋体"/>
          <w:szCs w:val="21"/>
        </w:rPr>
      </w:pPr>
      <w:r>
        <w:rPr>
          <w:rFonts w:hint="eastAsia" w:ascii="宋体" w:hAnsi="宋体" w:cs="宋体"/>
          <w:szCs w:val="21"/>
        </w:rPr>
        <w:t>承包人向发包人提供现场安全操作及必要的维护保养培训。</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3.2 项目经理</w:t>
      </w:r>
    </w:p>
    <w:p>
      <w:pPr>
        <w:spacing w:line="360" w:lineRule="auto"/>
        <w:ind w:firstLine="420" w:firstLineChars="200"/>
        <w:rPr>
          <w:rFonts w:hint="eastAsia" w:ascii="宋体" w:hAnsi="宋体" w:cs="宋体"/>
          <w:color w:val="000000"/>
          <w:szCs w:val="21"/>
        </w:rPr>
      </w:pPr>
      <w:r>
        <w:rPr>
          <w:rFonts w:hint="eastAsia" w:ascii="宋体" w:hAnsi="宋体" w:cs="宋体"/>
          <w:color w:val="000000"/>
          <w:kern w:val="0"/>
          <w:szCs w:val="21"/>
        </w:rPr>
        <w:t xml:space="preserve">3.2.1 </w:t>
      </w:r>
      <w:r>
        <w:rPr>
          <w:rFonts w:hint="eastAsia" w:ascii="宋体" w:hAnsi="宋体" w:cs="宋体"/>
          <w:color w:val="000000"/>
          <w:szCs w:val="21"/>
        </w:rPr>
        <w:t>项目经理：</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姓    名：</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身份证号：</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建造师执业资格等级：</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建造师注册证书号：</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建造师执业印章号：</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安全生产考核合格证书号：</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承包人对项目经理的授权范围如下：</w:t>
      </w:r>
      <w:r>
        <w:rPr>
          <w:rFonts w:hint="eastAsia" w:ascii="宋体" w:hAnsi="宋体" w:cs="宋体"/>
          <w:color w:val="000000"/>
          <w:szCs w:val="21"/>
          <w:u w:val="single"/>
        </w:rPr>
        <w:t xml:space="preserve"> 全面履行合同的管理职责，做好协调、服务，在安全、文明、质量、环境等合同约定中向</w:t>
      </w:r>
      <w:r>
        <w:rPr>
          <w:rFonts w:hint="eastAsia" w:ascii="宋体" w:hAnsi="宋体" w:cs="宋体"/>
          <w:color w:val="000000"/>
          <w:szCs w:val="21"/>
          <w:u w:val="single"/>
          <w:lang w:eastAsia="zh-CN"/>
        </w:rPr>
        <w:t>发包人</w:t>
      </w:r>
      <w:r>
        <w:rPr>
          <w:rFonts w:hint="eastAsia" w:ascii="宋体" w:hAnsi="宋体" w:cs="宋体"/>
          <w:color w:val="000000"/>
          <w:szCs w:val="21"/>
          <w:u w:val="single"/>
        </w:rPr>
        <w:t xml:space="preserve">负责任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关于项目经理每月在施工现场的时间要求：</w:t>
      </w:r>
      <w:r>
        <w:rPr>
          <w:rFonts w:hint="eastAsia" w:ascii="宋体" w:hAnsi="宋体" w:cs="宋体"/>
          <w:color w:val="000000"/>
          <w:szCs w:val="21"/>
          <w:u w:val="single"/>
        </w:rPr>
        <w:t xml:space="preserve"> 承包人项目负责人承诺常驻现场，代表承包人履行与发包人签订的本工程的工作内容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承包人未提交劳动合同，以及没有为项目经理缴纳社会保险证明的违约责任：</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szCs w:val="21"/>
          <w:u w:val="single"/>
        </w:rPr>
        <w:t xml:space="preserve"> 一经查实，则将承包人的行为上报相关主管部门，以弄虚作假骗取中标录入不诚信投标企业，并由承包人承担因此产生的一切后果，发包人保留追偿的权利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u w:val="single"/>
        </w:rPr>
      </w:pPr>
      <w:r>
        <w:rPr>
          <w:rFonts w:hint="eastAsia" w:ascii="宋体" w:hAnsi="宋体" w:cs="宋体"/>
          <w:color w:val="000000"/>
          <w:kern w:val="0"/>
          <w:szCs w:val="21"/>
        </w:rPr>
        <w:t>项目经理未经批准，擅自离开施工现场的违约责任：</w:t>
      </w:r>
      <w:r>
        <w:rPr>
          <w:rFonts w:hint="eastAsia" w:ascii="宋体" w:hAnsi="宋体" w:cs="宋体"/>
          <w:color w:val="000000"/>
          <w:szCs w:val="21"/>
          <w:u w:val="single"/>
        </w:rPr>
        <w:t xml:space="preserve"> 项目负责人离开工地须征得发包人的书面同意，否则每天处以</w:t>
      </w:r>
      <w:r>
        <w:rPr>
          <w:rFonts w:hint="eastAsia" w:ascii="宋体" w:hAnsi="宋体" w:cs="宋体"/>
          <w:color w:val="000000"/>
          <w:szCs w:val="21"/>
          <w:u w:val="single"/>
          <w:lang w:val="en-US" w:eastAsia="zh-CN"/>
        </w:rPr>
        <w:t>5</w:t>
      </w:r>
      <w:r>
        <w:rPr>
          <w:rFonts w:hint="eastAsia" w:ascii="宋体" w:hAnsi="宋体" w:cs="宋体"/>
          <w:color w:val="000000"/>
          <w:szCs w:val="21"/>
          <w:u w:val="single"/>
        </w:rPr>
        <w:t xml:space="preserve">00元违约金，累计超过10天发包人有权终止合同。如更改项目负责人超过两次，发包人有权终止合同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3.2.3 承包人擅自更换项目经理的违约责任：</w:t>
      </w:r>
      <w:r>
        <w:rPr>
          <w:rFonts w:hint="eastAsia" w:ascii="宋体" w:hAnsi="宋体" w:cs="宋体"/>
          <w:color w:val="000000"/>
          <w:szCs w:val="21"/>
          <w:u w:val="single"/>
        </w:rPr>
        <w:t xml:space="preserve"> 发包人有权终止合同，处以10000元/次违约金，并将其行为上报相关主管部门；且发包人保留追偿的权利 </w:t>
      </w:r>
      <w:r>
        <w:rPr>
          <w:rFonts w:hint="eastAsia" w:ascii="宋体" w:hAnsi="宋体" w:cs="宋体"/>
          <w:color w:val="000000"/>
          <w:szCs w:val="21"/>
        </w:rPr>
        <w:t>。</w:t>
      </w:r>
    </w:p>
    <w:p>
      <w:pPr>
        <w:spacing w:line="360" w:lineRule="auto"/>
        <w:rPr>
          <w:rFonts w:hint="eastAsia" w:ascii="宋体" w:hAnsi="宋体" w:cs="宋体"/>
          <w:color w:val="000000"/>
          <w:szCs w:val="21"/>
        </w:rPr>
      </w:pPr>
      <w:r>
        <w:rPr>
          <w:rFonts w:hint="eastAsia" w:ascii="宋体" w:hAnsi="宋体" w:cs="宋体"/>
          <w:color w:val="000000"/>
          <w:szCs w:val="21"/>
        </w:rPr>
        <w:t xml:space="preserve">    3.2.4 承包人无正当理由拒绝更换项目经理的违约责任：</w:t>
      </w:r>
      <w:r>
        <w:rPr>
          <w:rFonts w:hint="eastAsia" w:ascii="宋体" w:hAnsi="宋体" w:cs="宋体"/>
          <w:color w:val="000000"/>
          <w:szCs w:val="21"/>
          <w:u w:val="single"/>
        </w:rPr>
        <w:t xml:space="preserve"> 本工程承包人的现场施工管理人员（包括不限于：项目负责人、技术负责人、</w:t>
      </w:r>
      <w:r>
        <w:rPr>
          <w:rFonts w:hint="eastAsia" w:ascii="宋体" w:hAnsi="宋体" w:cs="宋体"/>
          <w:color w:val="000000"/>
          <w:szCs w:val="21"/>
          <w:u w:val="single"/>
          <w:lang w:val="en-US" w:eastAsia="zh-CN"/>
        </w:rPr>
        <w:t>安全负责人</w:t>
      </w:r>
      <w:r>
        <w:rPr>
          <w:rFonts w:hint="eastAsia" w:ascii="宋体" w:hAnsi="宋体" w:cs="宋体"/>
          <w:color w:val="000000"/>
          <w:szCs w:val="21"/>
          <w:u w:val="single"/>
        </w:rPr>
        <w:t>、</w:t>
      </w:r>
      <w:r>
        <w:rPr>
          <w:rFonts w:hint="eastAsia" w:ascii="宋体" w:hAnsi="宋体" w:cs="宋体"/>
          <w:color w:val="000000"/>
          <w:szCs w:val="21"/>
          <w:u w:val="single"/>
          <w:lang w:val="en-US" w:eastAsia="zh-CN"/>
        </w:rPr>
        <w:t>特种作业人员</w:t>
      </w:r>
      <w:r>
        <w:rPr>
          <w:rFonts w:hint="eastAsia" w:ascii="宋体" w:hAnsi="宋体" w:cs="宋体"/>
          <w:color w:val="000000"/>
          <w:szCs w:val="21"/>
          <w:u w:val="single"/>
        </w:rPr>
        <w:t xml:space="preserve">）必须为本单位人员。不满足以上要求的，承包人必须更换至满足要求为止。项目实施期间，若发包人认为承包人的项目负责人不称职，要求承包人更换的，承包人应及时采纳发包人的建议，无条件配合，并予以更换，若承包人无正当理由拒绝更换项目经理的，发包人有权终止合同，并保留追偿的权利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3.3 承包人人员</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3.3.1 承包人提交项目管理机构及施工现场管理人员安排报告的期限：</w:t>
      </w:r>
      <w:r>
        <w:rPr>
          <w:rFonts w:hint="eastAsia" w:ascii="宋体" w:hAnsi="宋体" w:cs="宋体"/>
          <w:color w:val="000000"/>
          <w:szCs w:val="21"/>
          <w:u w:val="single"/>
        </w:rPr>
        <w:t xml:space="preserve"> 签订合同前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3.3.3 承包人无正当理由拒绝撤换主要施工管理人员的违约责任：</w:t>
      </w:r>
      <w:r>
        <w:rPr>
          <w:rFonts w:hint="eastAsia" w:ascii="宋体" w:hAnsi="宋体" w:cs="宋体"/>
          <w:color w:val="000000"/>
          <w:szCs w:val="21"/>
          <w:u w:val="single"/>
        </w:rPr>
        <w:t xml:space="preserve"> 发包人将在工程款中扣除</w:t>
      </w:r>
      <w:r>
        <w:rPr>
          <w:rFonts w:hint="eastAsia" w:ascii="宋体" w:hAnsi="宋体" w:cs="宋体"/>
          <w:color w:val="000000"/>
          <w:szCs w:val="21"/>
          <w:u w:val="single"/>
          <w:lang w:val="en-US" w:eastAsia="zh-CN"/>
        </w:rPr>
        <w:t>5</w:t>
      </w:r>
      <w:r>
        <w:rPr>
          <w:rFonts w:hint="eastAsia" w:ascii="宋体" w:hAnsi="宋体" w:cs="宋体"/>
          <w:color w:val="000000"/>
          <w:szCs w:val="21"/>
          <w:u w:val="single"/>
        </w:rPr>
        <w:t xml:space="preserve">000元每人每次作为违约金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u w:val="single"/>
        </w:rPr>
      </w:pPr>
      <w:r>
        <w:rPr>
          <w:rFonts w:hint="eastAsia" w:ascii="宋体" w:hAnsi="宋体" w:cs="宋体"/>
          <w:color w:val="000000"/>
          <w:szCs w:val="21"/>
        </w:rPr>
        <w:t xml:space="preserve">3.3.4 承包人主要施工管理人员离开施工现场的批准要求： </w:t>
      </w:r>
      <w:r>
        <w:rPr>
          <w:rFonts w:hint="eastAsia" w:ascii="宋体" w:hAnsi="宋体" w:cs="宋体"/>
          <w:color w:val="000000"/>
          <w:szCs w:val="21"/>
          <w:u w:val="single"/>
        </w:rPr>
        <w:t xml:space="preserve"> 离开工地须征得发包人的书面同意，否则每天处以</w:t>
      </w:r>
      <w:r>
        <w:rPr>
          <w:rFonts w:hint="eastAsia" w:ascii="宋体" w:hAnsi="宋体" w:cs="宋体"/>
          <w:color w:val="000000"/>
          <w:szCs w:val="21"/>
          <w:u w:val="single"/>
          <w:lang w:val="en-US" w:eastAsia="zh-CN"/>
        </w:rPr>
        <w:t>5</w:t>
      </w:r>
      <w:r>
        <w:rPr>
          <w:rFonts w:hint="eastAsia" w:ascii="宋体" w:hAnsi="宋体" w:cs="宋体"/>
          <w:color w:val="000000"/>
          <w:szCs w:val="21"/>
          <w:u w:val="single"/>
        </w:rPr>
        <w:t xml:space="preserve">00元违约金， 累计超过10天发包人有权终止合同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3.3.5承包人擅自更换主要施工管理人员的违约责任：</w:t>
      </w:r>
      <w:r>
        <w:rPr>
          <w:rFonts w:hint="eastAsia" w:ascii="宋体" w:hAnsi="宋体" w:cs="宋体"/>
          <w:color w:val="000000"/>
          <w:szCs w:val="21"/>
          <w:u w:val="single"/>
        </w:rPr>
        <w:t xml:space="preserve"> 发包人有权终止合同，处以10000元/次违约金，并将其行为上报相关主管部门；且发包人保留追偿的权利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承包人主要施工管理人员擅自离开施工现场的违约责任：</w:t>
      </w:r>
      <w:r>
        <w:rPr>
          <w:rFonts w:hint="eastAsia" w:ascii="宋体" w:hAnsi="宋体" w:cs="宋体"/>
          <w:color w:val="000000"/>
          <w:szCs w:val="21"/>
          <w:u w:val="single"/>
        </w:rPr>
        <w:t xml:space="preserve"> 发生超过3次的，发包人有权终止合同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w:t>
      </w:r>
      <w:bookmarkStart w:id="679" w:name="_Toc296944498"/>
      <w:bookmarkStart w:id="680" w:name="_Toc297123492"/>
      <w:bookmarkStart w:id="681" w:name="_Toc296347158"/>
      <w:bookmarkStart w:id="682" w:name="_Toc312677988"/>
      <w:bookmarkStart w:id="683" w:name="_Toc296503159"/>
      <w:bookmarkStart w:id="684" w:name="_Toc304295523"/>
      <w:bookmarkStart w:id="685" w:name="_Toc300934945"/>
      <w:bookmarkStart w:id="686" w:name="_Toc296890987"/>
      <w:bookmarkStart w:id="687" w:name="_Toc292559869"/>
      <w:bookmarkStart w:id="688" w:name="_Toc297120459"/>
      <w:bookmarkStart w:id="689" w:name="_Toc296891199"/>
      <w:bookmarkStart w:id="690" w:name="_Toc303539102"/>
      <w:bookmarkStart w:id="691" w:name="_Toc297048345"/>
      <w:bookmarkStart w:id="692" w:name="_Toc297216151"/>
      <w:bookmarkStart w:id="693" w:name="_Toc292559364"/>
      <w:bookmarkStart w:id="694" w:name="_Toc296346660"/>
      <w:r>
        <w:rPr>
          <w:rFonts w:hint="eastAsia" w:ascii="宋体" w:hAnsi="宋体" w:cs="宋体"/>
          <w:color w:val="000000"/>
          <w:szCs w:val="21"/>
          <w:highlight w:val="white"/>
        </w:rPr>
        <w:t>.5 分包</w:t>
      </w:r>
    </w:p>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Pr>
        <w:spacing w:line="360" w:lineRule="auto"/>
        <w:ind w:firstLine="420" w:firstLineChars="200"/>
        <w:rPr>
          <w:rFonts w:hint="eastAsia" w:ascii="宋体" w:hAnsi="宋体" w:cs="宋体"/>
          <w:bCs/>
          <w:szCs w:val="21"/>
        </w:rPr>
      </w:pPr>
      <w:r>
        <w:rPr>
          <w:rFonts w:hint="eastAsia" w:ascii="宋体" w:hAnsi="宋体" w:cs="宋体"/>
          <w:bCs/>
          <w:szCs w:val="21"/>
        </w:rPr>
        <w:t>3</w:t>
      </w:r>
      <w:bookmarkStart w:id="695" w:name="_Toc312677989"/>
      <w:bookmarkStart w:id="696" w:name="_Toc297123493"/>
      <w:bookmarkStart w:id="697" w:name="_Toc296891200"/>
      <w:bookmarkStart w:id="698" w:name="_Toc297216152"/>
      <w:bookmarkStart w:id="699" w:name="_Toc296346661"/>
      <w:bookmarkStart w:id="700" w:name="_Toc296890988"/>
      <w:bookmarkStart w:id="701" w:name="_Toc318581158"/>
      <w:bookmarkStart w:id="702" w:name="_Toc296503160"/>
      <w:bookmarkStart w:id="703" w:name="_Toc296944499"/>
      <w:bookmarkStart w:id="704" w:name="_Toc292559870"/>
      <w:bookmarkStart w:id="705" w:name="_Toc300934946"/>
      <w:bookmarkStart w:id="706" w:name="_Toc304295524"/>
      <w:bookmarkStart w:id="707" w:name="_Toc303539103"/>
      <w:bookmarkStart w:id="708" w:name="_Toc297120460"/>
      <w:bookmarkStart w:id="709" w:name="_Toc297048346"/>
      <w:bookmarkStart w:id="710" w:name="_Toc296347159"/>
      <w:bookmarkStart w:id="711" w:name="_Toc292559365"/>
      <w:r>
        <w:rPr>
          <w:rFonts w:hint="eastAsia" w:ascii="宋体" w:hAnsi="宋体" w:cs="宋体"/>
          <w:bCs/>
          <w:color w:val="000000"/>
          <w:szCs w:val="21"/>
          <w:highlight w:val="white"/>
        </w:rPr>
        <w:t>.5.1 分包的一般约定</w:t>
      </w:r>
    </w:p>
    <w:p>
      <w:pPr>
        <w:spacing w:line="360" w:lineRule="auto"/>
        <w:ind w:firstLine="420" w:firstLineChars="200"/>
        <w:jc w:val="left"/>
        <w:rPr>
          <w:rFonts w:hint="eastAsia" w:ascii="宋体" w:hAnsi="宋体" w:cs="宋体"/>
          <w:bCs/>
          <w:szCs w:val="21"/>
        </w:rPr>
      </w:pPr>
      <w:r>
        <w:rPr>
          <w:rFonts w:hint="eastAsia" w:ascii="宋体" w:hAnsi="宋体" w:cs="宋体"/>
          <w:bCs/>
          <w:color w:val="000000"/>
          <w:szCs w:val="21"/>
          <w:highlight w:val="white"/>
        </w:rPr>
        <w:t>禁止分包的工程包括：承包人不得分包或转包。否则，发包人有权单方面终止合同，并令其立即退场且不支付任何费用，工程项目施工由发包人另行处理，由此而造成的经济损失由承包人负责赔偿。</w:t>
      </w:r>
    </w:p>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3.6 工程照管与成品、半成品保护</w:t>
      </w:r>
    </w:p>
    <w:p>
      <w:pPr>
        <w:spacing w:line="360" w:lineRule="auto"/>
        <w:ind w:firstLine="420" w:firstLineChars="200"/>
        <w:rPr>
          <w:rFonts w:hint="eastAsia" w:ascii="宋体" w:hAnsi="宋体" w:cs="宋体"/>
          <w:color w:val="000000"/>
          <w:kern w:val="0"/>
          <w:szCs w:val="21"/>
          <w:u w:val="single"/>
        </w:rPr>
      </w:pPr>
      <w:r>
        <w:rPr>
          <w:rFonts w:hint="eastAsia" w:ascii="宋体" w:hAnsi="宋体" w:cs="宋体"/>
          <w:color w:val="000000"/>
          <w:kern w:val="0"/>
          <w:szCs w:val="21"/>
        </w:rPr>
        <w:t>承包人负责照管工程及工程相关的材料、工程设备的起始时间：</w:t>
      </w:r>
      <w:r>
        <w:rPr>
          <w:rFonts w:hint="eastAsia" w:ascii="宋体" w:hAnsi="宋体" w:cs="宋体"/>
          <w:color w:val="000000"/>
          <w:kern w:val="0"/>
          <w:szCs w:val="21"/>
          <w:u w:val="single"/>
        </w:rPr>
        <w:t xml:space="preserve">  由工程开工之日起，至工程竣工验收合格、办理移交手续后承包人退场时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3.7 履约担保</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承包人是否提供履约担保： 不提供。</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承包人提供履约担保的形式、金额及期限的：无。</w:t>
      </w:r>
    </w:p>
    <w:p>
      <w:pPr>
        <w:spacing w:line="360" w:lineRule="auto"/>
        <w:rPr>
          <w:rFonts w:hint="eastAsia" w:ascii="宋体" w:hAnsi="宋体" w:cs="宋体"/>
          <w:b/>
          <w:color w:val="000000"/>
          <w:szCs w:val="21"/>
        </w:rPr>
      </w:pPr>
      <w:bookmarkStart w:id="712" w:name="_Toc389146883"/>
      <w:bookmarkStart w:id="713" w:name="_Toc351203636"/>
      <w:bookmarkStart w:id="714" w:name="_Toc393093284"/>
      <w:bookmarkStart w:id="715" w:name="_Toc394329413"/>
      <w:bookmarkStart w:id="716" w:name="_Toc392078590"/>
      <w:bookmarkStart w:id="717" w:name="_Toc389066716"/>
      <w:r>
        <w:rPr>
          <w:rFonts w:hint="eastAsia" w:ascii="宋体" w:hAnsi="宋体" w:cs="宋体"/>
          <w:b/>
          <w:color w:val="000000"/>
          <w:szCs w:val="21"/>
          <w:highlight w:val="white"/>
        </w:rPr>
        <w:t>4</w:t>
      </w:r>
      <w:bookmarkStart w:id="718" w:name="_Toc296346663"/>
      <w:bookmarkStart w:id="719" w:name="_Toc297048348"/>
      <w:bookmarkStart w:id="720" w:name="_Toc292559366"/>
      <w:bookmarkStart w:id="721" w:name="_Toc296890990"/>
      <w:bookmarkStart w:id="722" w:name="_Toc296944501"/>
      <w:bookmarkStart w:id="723" w:name="_Toc292559871"/>
      <w:bookmarkStart w:id="724" w:name="_Toc297120462"/>
      <w:bookmarkStart w:id="725" w:name="_Toc267251413"/>
      <w:bookmarkStart w:id="726" w:name="_Toc296891202"/>
      <w:bookmarkStart w:id="727" w:name="_Toc296347161"/>
      <w:bookmarkStart w:id="728" w:name="_Toc296503162"/>
      <w:r>
        <w:rPr>
          <w:rFonts w:hint="eastAsia" w:ascii="宋体" w:hAnsi="宋体" w:cs="宋体"/>
          <w:b/>
          <w:color w:val="000000"/>
          <w:szCs w:val="21"/>
          <w:highlight w:val="white"/>
        </w:rPr>
        <w:t>. 监</w:t>
      </w:r>
      <w:bookmarkEnd w:id="718"/>
      <w:bookmarkEnd w:id="719"/>
      <w:bookmarkEnd w:id="720"/>
      <w:bookmarkEnd w:id="721"/>
      <w:bookmarkEnd w:id="722"/>
      <w:bookmarkEnd w:id="723"/>
      <w:bookmarkEnd w:id="724"/>
      <w:bookmarkEnd w:id="725"/>
      <w:bookmarkEnd w:id="726"/>
      <w:bookmarkEnd w:id="727"/>
      <w:bookmarkEnd w:id="728"/>
      <w:r>
        <w:rPr>
          <w:rFonts w:hint="eastAsia" w:ascii="宋体" w:hAnsi="宋体" w:cs="宋体"/>
          <w:b/>
          <w:color w:val="000000"/>
          <w:szCs w:val="21"/>
          <w:highlight w:val="white"/>
        </w:rPr>
        <w:t>理人</w:t>
      </w:r>
      <w:bookmarkEnd w:id="712"/>
      <w:bookmarkEnd w:id="713"/>
      <w:bookmarkEnd w:id="714"/>
      <w:bookmarkEnd w:id="715"/>
      <w:bookmarkEnd w:id="716"/>
      <w:bookmarkEnd w:id="717"/>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4.1监理人的一般规定</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关于监理人的监理内容：</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关于监理人的监理权限：</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关于监理人在施工现场的办公场所、生活场所的提供和费用承担的约定：</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4.2 监理人员</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总监理工程师：</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姓    名：</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职    务：</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监理工程师执业资格证书号：</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关于监理人的其他约定：</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4.4 商定或确定</w:t>
      </w:r>
    </w:p>
    <w:p>
      <w:pPr>
        <w:spacing w:line="360" w:lineRule="auto"/>
        <w:ind w:firstLine="420" w:firstLineChars="200"/>
        <w:rPr>
          <w:rFonts w:hint="eastAsia" w:ascii="宋体" w:hAnsi="宋体" w:cs="宋体"/>
          <w:color w:val="000000"/>
          <w:szCs w:val="21"/>
        </w:rPr>
      </w:pPr>
      <w:bookmarkStart w:id="729" w:name="_Toc267251418"/>
      <w:r>
        <w:rPr>
          <w:rFonts w:hint="eastAsia" w:ascii="宋体" w:hAnsi="宋体" w:cs="宋体"/>
          <w:color w:val="000000"/>
          <w:szCs w:val="21"/>
          <w:highlight w:val="white"/>
        </w:rPr>
        <w:t>在发包人和承包人不能通过协商达成一致意见时，发包人授权监理人对以下事项进行确定：</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（1）</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（2）</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（3）</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rPr>
          <w:rFonts w:hint="eastAsia" w:ascii="宋体" w:hAnsi="宋体" w:cs="宋体"/>
          <w:b/>
          <w:szCs w:val="21"/>
        </w:rPr>
      </w:pPr>
      <w:bookmarkStart w:id="730" w:name="_Toc393093285"/>
      <w:bookmarkStart w:id="731" w:name="_Toc392078591"/>
      <w:bookmarkStart w:id="732" w:name="_Toc389066717"/>
      <w:bookmarkStart w:id="733" w:name="_Toc389146884"/>
      <w:bookmarkStart w:id="734" w:name="_Toc351203637"/>
      <w:bookmarkStart w:id="735" w:name="_Toc394329414"/>
      <w:r>
        <w:rPr>
          <w:rFonts w:hint="eastAsia" w:ascii="宋体" w:hAnsi="宋体" w:cs="宋体"/>
          <w:b/>
          <w:color w:val="000000"/>
          <w:szCs w:val="21"/>
          <w:highlight w:val="white"/>
        </w:rPr>
        <w:t>5</w:t>
      </w:r>
      <w:bookmarkEnd w:id="729"/>
      <w:bookmarkStart w:id="736" w:name="_Toc296944502"/>
      <w:bookmarkStart w:id="737" w:name="_Toc296347162"/>
      <w:bookmarkStart w:id="738" w:name="_Toc292559872"/>
      <w:bookmarkStart w:id="739" w:name="_Toc297120463"/>
      <w:bookmarkStart w:id="740" w:name="_Toc296503163"/>
      <w:bookmarkStart w:id="741" w:name="_Toc297048349"/>
      <w:bookmarkStart w:id="742" w:name="_Toc296890991"/>
      <w:bookmarkStart w:id="743" w:name="_Toc296891203"/>
      <w:bookmarkStart w:id="744" w:name="_Toc296346664"/>
      <w:bookmarkStart w:id="745" w:name="_Toc292559367"/>
      <w:r>
        <w:rPr>
          <w:rFonts w:hint="eastAsia" w:ascii="宋体" w:hAnsi="宋体" w:cs="宋体"/>
          <w:b/>
          <w:color w:val="000000"/>
          <w:szCs w:val="21"/>
          <w:highlight w:val="white"/>
        </w:rPr>
        <w:t>. 工程质量</w:t>
      </w:r>
      <w:bookmarkEnd w:id="730"/>
      <w:bookmarkEnd w:id="731"/>
      <w:bookmarkEnd w:id="732"/>
      <w:bookmarkEnd w:id="733"/>
      <w:bookmarkEnd w:id="734"/>
      <w:bookmarkEnd w:id="735"/>
    </w:p>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5.1 质量要求</w:t>
      </w:r>
    </w:p>
    <w:p>
      <w:pPr>
        <w:spacing w:line="360" w:lineRule="auto"/>
        <w:jc w:val="left"/>
        <w:rPr>
          <w:rFonts w:hint="eastAsia" w:ascii="宋体" w:hAnsi="宋体" w:cs="宋体"/>
          <w:szCs w:val="21"/>
        </w:rPr>
      </w:pPr>
      <w:r>
        <w:rPr>
          <w:rFonts w:hint="eastAsia" w:ascii="宋体" w:hAnsi="宋体" w:cs="宋体"/>
          <w:color w:val="000000"/>
          <w:szCs w:val="21"/>
          <w:highlight w:val="white"/>
        </w:rPr>
        <w:t>5</w:t>
      </w:r>
      <w:bookmarkStart w:id="746" w:name="_Toc304295527"/>
      <w:bookmarkStart w:id="747" w:name="_Toc297123496"/>
      <w:bookmarkStart w:id="748" w:name="_Toc318581164"/>
      <w:bookmarkStart w:id="749" w:name="_Toc303539106"/>
      <w:bookmarkStart w:id="750" w:name="_Toc300934949"/>
      <w:bookmarkStart w:id="751" w:name="_Toc312677997"/>
      <w:bookmarkStart w:id="752" w:name="_Toc297216155"/>
      <w:r>
        <w:rPr>
          <w:rFonts w:hint="eastAsia" w:ascii="宋体" w:hAnsi="宋体" w:cs="宋体"/>
          <w:color w:val="000000"/>
          <w:szCs w:val="21"/>
          <w:highlight w:val="white"/>
        </w:rPr>
        <w:t>.1.1 特殊质量标准和要求：</w:t>
      </w:r>
      <w:r>
        <w:rPr>
          <w:rFonts w:hint="eastAsia" w:ascii="宋体" w:hAnsi="宋体" w:cs="宋体"/>
          <w:color w:val="000000"/>
          <w:szCs w:val="21"/>
          <w:highlight w:val="white"/>
          <w:u w:val="single"/>
        </w:rPr>
        <w:t xml:space="preserve"> 执行国家、省或行业现行的工程建设质量验收标准及规范，</w:t>
      </w:r>
      <w:r>
        <w:rPr>
          <w:rFonts w:hint="eastAsia" w:ascii="宋体" w:hAnsi="宋体" w:cs="宋体"/>
          <w:color w:val="000000"/>
          <w:szCs w:val="21"/>
          <w:highlight w:val="white"/>
          <w:u w:val="single"/>
          <w:lang w:eastAsia="zh-CN"/>
        </w:rPr>
        <w:t>应</w:t>
      </w:r>
      <w:r>
        <w:rPr>
          <w:rFonts w:hint="eastAsia" w:ascii="宋体" w:hAnsi="宋体" w:cs="宋体"/>
          <w:color w:val="000000"/>
          <w:szCs w:val="21"/>
          <w:highlight w:val="white"/>
          <w:u w:val="single"/>
        </w:rPr>
        <w:t>达到国家、省或行业现行的工程建设质量验收质量等级</w:t>
      </w:r>
      <w:r>
        <w:rPr>
          <w:rFonts w:hint="eastAsia" w:ascii="宋体" w:hAnsi="宋体" w:cs="宋体"/>
          <w:color w:val="000000"/>
          <w:szCs w:val="21"/>
          <w:highlight w:val="white"/>
          <w:u w:val="single"/>
          <w:lang w:eastAsia="zh-CN"/>
        </w:rPr>
        <w:t>合格</w:t>
      </w:r>
      <w:r>
        <w:rPr>
          <w:rFonts w:hint="eastAsia" w:ascii="宋体" w:hAnsi="宋体" w:cs="宋体"/>
          <w:color w:val="000000"/>
          <w:szCs w:val="21"/>
          <w:highlight w:val="white"/>
          <w:u w:val="single"/>
        </w:rPr>
        <w:t xml:space="preserve">标准。承包人必须确保工程一次验收合格。因承包人原因致工程未1次验收合格导致工程不能按计划工期完成竣工验收的，承包人按专用条款承担违约责任 </w:t>
      </w:r>
      <w:r>
        <w:rPr>
          <w:rFonts w:hint="eastAsia" w:ascii="宋体" w:hAnsi="宋体" w:cs="宋体"/>
          <w:color w:val="000000"/>
          <w:szCs w:val="21"/>
          <w:highlight w:val="white"/>
        </w:rPr>
        <w:t>。</w:t>
      </w:r>
    </w:p>
    <w:p>
      <w:pPr>
        <w:spacing w:line="360" w:lineRule="auto"/>
        <w:jc w:val="left"/>
        <w:rPr>
          <w:rFonts w:hint="eastAsia" w:ascii="宋体" w:hAnsi="宋体" w:cs="宋体"/>
          <w:szCs w:val="21"/>
        </w:rPr>
      </w:pPr>
      <w:r>
        <w:rPr>
          <w:rFonts w:hint="eastAsia" w:ascii="宋体" w:hAnsi="宋体" w:cs="宋体"/>
          <w:color w:val="000000"/>
          <w:szCs w:val="21"/>
          <w:highlight w:val="white"/>
        </w:rPr>
        <w:t>关于工程奖项的约定：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无</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5.3 隐蔽工程检查</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5.3.2承包人提前通知监理人隐蔽工程检查的期限的约定：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按通用条款执行</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监理人不能按时进行检查时，应提前</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24</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小时提交书面延期要求。</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关于延期最长不得超过：</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48</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小时。</w:t>
      </w:r>
    </w:p>
    <w:p>
      <w:pPr>
        <w:spacing w:line="360" w:lineRule="auto"/>
        <w:rPr>
          <w:rFonts w:hint="eastAsia" w:ascii="宋体" w:hAnsi="宋体" w:cs="宋体"/>
          <w:b/>
          <w:color w:val="000000"/>
          <w:szCs w:val="21"/>
        </w:rPr>
      </w:pPr>
      <w:bookmarkStart w:id="753" w:name="_Toc393093286"/>
      <w:bookmarkStart w:id="754" w:name="_Toc394329415"/>
      <w:bookmarkStart w:id="755" w:name="_Toc389146885"/>
      <w:bookmarkStart w:id="756" w:name="_Toc351203638"/>
      <w:bookmarkStart w:id="757" w:name="_Toc392078592"/>
      <w:bookmarkStart w:id="758" w:name="_Toc389066718"/>
      <w:r>
        <w:rPr>
          <w:rFonts w:hint="eastAsia" w:ascii="宋体" w:hAnsi="宋体" w:cs="宋体"/>
          <w:b/>
          <w:color w:val="000000"/>
          <w:szCs w:val="21"/>
          <w:highlight w:val="white"/>
        </w:rPr>
        <w:t>6. 安全文明施工与环境保护</w:t>
      </w:r>
      <w:bookmarkEnd w:id="753"/>
      <w:bookmarkEnd w:id="754"/>
      <w:bookmarkEnd w:id="755"/>
      <w:bookmarkEnd w:id="756"/>
      <w:bookmarkEnd w:id="757"/>
      <w:bookmarkEnd w:id="758"/>
    </w:p>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6.1安全文明施工</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6.1.1 项目安全生产的达标目标及相应事项的约定：</w:t>
      </w:r>
      <w:r>
        <w:rPr>
          <w:rFonts w:hint="eastAsia" w:ascii="宋体" w:hAnsi="宋体" w:cs="宋体"/>
          <w:color w:val="000000"/>
          <w:szCs w:val="21"/>
          <w:highlight w:val="white"/>
          <w:u w:val="single"/>
        </w:rPr>
        <w:t xml:space="preserve"> 按国家、省、市、区有关部门颁发的相关规定对施工现场和施工方法采取有效的安全措施，确保安全施工。施工范围内任何因承包人原因造成的工程、财产和人身伤害及安全事故，由承包人承担一切经济及法律责任并负责事后补救，发包人应对事件进行协调解决处理，若承包人违规且情节极其严重者，发包人有权解除部分或全部合同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6.1.4 关于治安保卫的特别约定：</w:t>
      </w:r>
      <w:r>
        <w:rPr>
          <w:rFonts w:hint="eastAsia" w:ascii="宋体" w:hAnsi="宋体" w:cs="宋体"/>
          <w:color w:val="000000"/>
          <w:szCs w:val="21"/>
          <w:highlight w:val="white"/>
          <w:u w:val="single"/>
        </w:rPr>
        <w:t xml:space="preserve"> 按国家、广东省及佛山市和工程所在地现行有关规定执行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关于编制施工场地治安管理计划的约定：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 xml:space="preserve">/ </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6.1.5 文明施工</w:t>
      </w:r>
    </w:p>
    <w:p>
      <w:pPr>
        <w:spacing w:line="360" w:lineRule="auto"/>
        <w:ind w:firstLine="420" w:firstLineChars="200"/>
        <w:jc w:val="left"/>
        <w:rPr>
          <w:rFonts w:hint="eastAsia" w:ascii="宋体" w:hAnsi="宋体" w:eastAsia="宋体" w:cs="宋体"/>
          <w:color w:val="000000"/>
          <w:szCs w:val="21"/>
          <w:highlight w:val="white"/>
          <w:u w:val="single"/>
        </w:rPr>
      </w:pPr>
      <w:r>
        <w:rPr>
          <w:rFonts w:hint="eastAsia" w:ascii="宋体" w:hAnsi="宋体" w:eastAsia="宋体" w:cs="宋体"/>
          <w:color w:val="000000"/>
          <w:szCs w:val="21"/>
          <w:highlight w:val="white"/>
        </w:rPr>
        <w:t xml:space="preserve">合同当事人对文明施工的要求： </w:t>
      </w:r>
      <w:r>
        <w:rPr>
          <w:rFonts w:hint="eastAsia" w:ascii="宋体" w:hAnsi="宋体" w:eastAsia="宋体" w:cs="宋体"/>
          <w:color w:val="000000"/>
          <w:szCs w:val="21"/>
          <w:highlight w:val="white"/>
          <w:u w:val="single"/>
        </w:rPr>
        <w:t>本项目施工期间承包人须按国家规范要求设置足够警示标志及防护标志，如因施工而引起的交通事故或安全事故责任和因此发生的费用，由承包人负责。发生事故的风险费用，由承包人在报价中予以考虑。承包人应严格执行省建设厅 《建筑工程安全防护、文明施工措施费用管理办法的通知》，严格按照以上文件要求做好安全防护和文明施工措施。遵守政府部门及发包人有关施工场地交通、城市管理、 环境保护、施工噪音、安全防护、文明施工、佛山市创建文明城市、美城行动“八个一”检查等的管理规定，办理有关手续，并以书面形式通知发包人。办理相关手续的时间由承包人根据施工进度安排，费用已包含在合同价款内。施工现场标志牌、安全警示、围蔽、交通组织管理等符合上述规定，安排清洁人员及交通城管员由施工单位负责。以上相关的法规或通知规定，有最新要求的，按最新要求执行。</w:t>
      </w:r>
    </w:p>
    <w:p>
      <w:pPr>
        <w:spacing w:line="360" w:lineRule="auto"/>
        <w:ind w:firstLine="420" w:firstLineChars="200"/>
        <w:jc w:val="left"/>
        <w:rPr>
          <w:rFonts w:hint="eastAsia" w:ascii="宋体" w:hAnsi="宋体" w:eastAsia="宋体" w:cs="宋体"/>
          <w:color w:val="000000"/>
          <w:szCs w:val="21"/>
          <w:highlight w:val="white"/>
          <w:u w:val="single"/>
          <w:lang w:val="en-US" w:eastAsia="zh-CN"/>
        </w:rPr>
      </w:pPr>
      <w:r>
        <w:rPr>
          <w:rFonts w:hint="eastAsia" w:ascii="宋体" w:hAnsi="宋体" w:eastAsia="宋体" w:cs="宋体"/>
          <w:color w:val="000000"/>
          <w:szCs w:val="21"/>
          <w:highlight w:val="white"/>
          <w:u w:val="single"/>
          <w:lang w:val="en-US" w:eastAsia="zh-CN"/>
        </w:rPr>
        <w:t>若因承包人施工噪音、扬尘造成投诉的，承包人须自行与投诉人协商。若承包人因施工噪音或扬尘超标等原因导致主管部门下达整改或处罚的，承包人须向发包人支付1万元/次处罚金。 若发现承包人违反文明施工有关规定，需扣罚1000元/次并立即整改，整改通过后可继续施工。承包人应在接到书面整改通知书起12个小时内整改完毕，否则按照1万元/次支付违约金。承包人承诺：达不到文明施工目标，按合同价的1%支付违约金。达不到安全施工目标，按合同价的1.5%支付违约金。</w:t>
      </w:r>
    </w:p>
    <w:p>
      <w:pPr>
        <w:spacing w:line="360" w:lineRule="auto"/>
        <w:ind w:left="600" w:hanging="600"/>
        <w:rPr>
          <w:rFonts w:hint="eastAsia" w:ascii="宋体" w:hAnsi="宋体" w:cs="宋体"/>
          <w:szCs w:val="21"/>
        </w:rPr>
      </w:pPr>
      <w:r>
        <w:rPr>
          <w:rFonts w:hint="eastAsia" w:ascii="宋体" w:hAnsi="宋体" w:cs="宋体"/>
          <w:color w:val="000000"/>
          <w:szCs w:val="21"/>
          <w:highlight w:val="white"/>
        </w:rPr>
        <w:t>6.1.6 关于安全文明施工费支付比例和支付期限的约定：</w:t>
      </w:r>
    </w:p>
    <w:p>
      <w:pPr>
        <w:spacing w:line="360" w:lineRule="auto"/>
        <w:ind w:left="600" w:hanging="600"/>
        <w:rPr>
          <w:rFonts w:hint="eastAsia" w:ascii="宋体" w:hAnsi="宋体" w:cs="宋体"/>
          <w:szCs w:val="21"/>
        </w:rPr>
      </w:pPr>
      <w:r>
        <w:rPr>
          <w:rFonts w:hint="eastAsia" w:ascii="宋体" w:hAnsi="宋体" w:cs="宋体"/>
          <w:color w:val="000000"/>
          <w:szCs w:val="21"/>
          <w:highlight w:val="white"/>
        </w:rPr>
        <w:t>(1)  安全防护、文明施工措施的内容及范围：按通用条款的规定，以广东省统一计价依据的规定为准，本工程的安全防护、文明施工措施费用已包含在合同总价中。</w:t>
      </w:r>
    </w:p>
    <w:p>
      <w:pPr>
        <w:spacing w:line="360" w:lineRule="auto"/>
        <w:ind w:left="600" w:hanging="600"/>
        <w:rPr>
          <w:rFonts w:hint="eastAsia" w:ascii="宋体" w:hAnsi="宋体" w:cs="宋体"/>
          <w:szCs w:val="21"/>
        </w:rPr>
      </w:pPr>
      <w:r>
        <w:rPr>
          <w:rFonts w:hint="eastAsia" w:ascii="宋体" w:hAnsi="宋体" w:cs="宋体"/>
          <w:color w:val="000000"/>
          <w:szCs w:val="21"/>
          <w:highlight w:val="white"/>
        </w:rPr>
        <w:t>(2)  安全防护、文明施工措施费的总</w:t>
      </w:r>
      <w:r>
        <w:rPr>
          <w:rFonts w:hint="eastAsia" w:ascii="宋体" w:hAnsi="宋体" w:cs="宋体"/>
          <w:color w:val="000000"/>
          <w:szCs w:val="21"/>
          <w:highlight w:val="none"/>
        </w:rPr>
        <w:t>额</w:t>
      </w:r>
      <w:r>
        <w:rPr>
          <w:rFonts w:hint="eastAsia" w:ascii="宋体" w:hAnsi="宋体" w:cs="宋体"/>
          <w:color w:val="000000"/>
          <w:szCs w:val="21"/>
          <w:highlight w:val="none"/>
          <w:u w:val="single"/>
        </w:rPr>
        <w:t xml:space="preserve"> 8734.58 </w:t>
      </w:r>
      <w:r>
        <w:rPr>
          <w:rFonts w:hint="eastAsia" w:ascii="宋体" w:hAnsi="宋体" w:cs="宋体"/>
          <w:color w:val="000000"/>
          <w:szCs w:val="21"/>
          <w:highlight w:val="none"/>
        </w:rPr>
        <w:t>元</w:t>
      </w:r>
      <w:r>
        <w:rPr>
          <w:rFonts w:hint="eastAsia" w:ascii="宋体" w:hAnsi="宋体" w:cs="宋体"/>
          <w:color w:val="000000"/>
          <w:szCs w:val="21"/>
          <w:highlight w:val="white"/>
        </w:rPr>
        <w:t>，安全防护、文明施工措施费必须专款专用，不得挪作他用。</w:t>
      </w:r>
    </w:p>
    <w:p>
      <w:pPr>
        <w:spacing w:line="360" w:lineRule="auto"/>
        <w:ind w:left="480" w:hanging="480"/>
        <w:rPr>
          <w:rFonts w:hint="eastAsia" w:ascii="宋体" w:hAnsi="宋体" w:cs="宋体"/>
          <w:szCs w:val="21"/>
        </w:rPr>
      </w:pPr>
      <w:r>
        <w:rPr>
          <w:rFonts w:hint="eastAsia" w:ascii="宋体" w:hAnsi="宋体" w:cs="宋体"/>
          <w:color w:val="000000"/>
          <w:szCs w:val="21"/>
          <w:highlight w:val="white"/>
        </w:rPr>
        <w:t>(3) 安全防护、文明施工措施费预付、支付办法和扣回方式按：已包括在合同总价中，按照本合同协议书付款方式的约定与本项目的所有款项合并支付。</w:t>
      </w:r>
    </w:p>
    <w:bookmarkEnd w:id="746"/>
    <w:bookmarkEnd w:id="747"/>
    <w:bookmarkEnd w:id="748"/>
    <w:bookmarkEnd w:id="749"/>
    <w:bookmarkEnd w:id="750"/>
    <w:bookmarkEnd w:id="751"/>
    <w:bookmarkEnd w:id="752"/>
    <w:p>
      <w:pPr>
        <w:spacing w:line="360" w:lineRule="auto"/>
        <w:rPr>
          <w:rFonts w:hint="eastAsia" w:ascii="宋体" w:hAnsi="宋体" w:cs="宋体"/>
          <w:b/>
          <w:color w:val="000000"/>
          <w:szCs w:val="21"/>
        </w:rPr>
      </w:pPr>
      <w:bookmarkStart w:id="759" w:name="_Toc393093287"/>
      <w:bookmarkStart w:id="760" w:name="_Toc351203639"/>
      <w:bookmarkStart w:id="761" w:name="_Toc389146886"/>
      <w:bookmarkStart w:id="762" w:name="_Toc389066719"/>
      <w:bookmarkStart w:id="763" w:name="_Toc392078593"/>
      <w:bookmarkStart w:id="764" w:name="_Toc394329416"/>
      <w:r>
        <w:rPr>
          <w:rFonts w:hint="eastAsia" w:ascii="宋体" w:hAnsi="宋体" w:cs="宋体"/>
          <w:b/>
          <w:color w:val="000000"/>
          <w:szCs w:val="21"/>
          <w:highlight w:val="white"/>
        </w:rPr>
        <w:t>7. 工期和进度</w:t>
      </w:r>
      <w:bookmarkEnd w:id="759"/>
      <w:bookmarkEnd w:id="760"/>
      <w:bookmarkEnd w:id="761"/>
      <w:bookmarkEnd w:id="762"/>
      <w:bookmarkEnd w:id="763"/>
      <w:bookmarkEnd w:id="764"/>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highlight w:val="white"/>
        </w:rPr>
        <w:t>7.1 施工组织设计</w:t>
      </w:r>
    </w:p>
    <w:p>
      <w:pPr>
        <w:autoSpaceDE w:val="0"/>
        <w:autoSpaceDN w:val="0"/>
        <w:adjustRightInd w:val="0"/>
        <w:spacing w:line="360" w:lineRule="auto"/>
        <w:ind w:firstLine="420" w:firstLineChars="200"/>
        <w:jc w:val="left"/>
        <w:rPr>
          <w:rFonts w:hint="eastAsia" w:ascii="宋体" w:hAnsi="宋体" w:cs="宋体"/>
          <w:kern w:val="0"/>
          <w:szCs w:val="21"/>
        </w:rPr>
      </w:pPr>
      <w:r>
        <w:rPr>
          <w:rFonts w:hint="eastAsia" w:ascii="宋体" w:hAnsi="宋体" w:cs="宋体"/>
          <w:color w:val="000000"/>
          <w:szCs w:val="21"/>
          <w:highlight w:val="white"/>
        </w:rPr>
        <w:t>7.1.1 合</w:t>
      </w:r>
      <w:r>
        <w:rPr>
          <w:rFonts w:hint="eastAsia" w:ascii="宋体" w:hAnsi="宋体" w:cs="宋体"/>
          <w:color w:val="000000"/>
          <w:kern w:val="0"/>
          <w:szCs w:val="21"/>
          <w:highlight w:val="white"/>
        </w:rPr>
        <w:t>同当事人约定的施工组织设计应包括的其他内容：</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autoSpaceDE w:val="0"/>
        <w:autoSpaceDN w:val="0"/>
        <w:adjustRightInd w:val="0"/>
        <w:spacing w:line="360" w:lineRule="auto"/>
        <w:ind w:firstLine="420" w:firstLineChars="200"/>
        <w:jc w:val="left"/>
        <w:rPr>
          <w:rFonts w:hint="eastAsia" w:ascii="宋体" w:hAnsi="宋体" w:cs="宋体"/>
          <w:kern w:val="0"/>
          <w:szCs w:val="21"/>
        </w:rPr>
      </w:pPr>
      <w:r>
        <w:rPr>
          <w:rFonts w:hint="eastAsia" w:ascii="宋体" w:hAnsi="宋体" w:cs="宋体"/>
          <w:color w:val="000000"/>
          <w:szCs w:val="21"/>
          <w:highlight w:val="white"/>
        </w:rPr>
        <w:t xml:space="preserve">7.1.2 </w:t>
      </w:r>
      <w:r>
        <w:rPr>
          <w:rFonts w:hint="eastAsia" w:ascii="宋体" w:hAnsi="宋体" w:cs="宋体"/>
          <w:color w:val="000000"/>
          <w:kern w:val="0"/>
          <w:szCs w:val="21"/>
          <w:highlight w:val="white"/>
        </w:rPr>
        <w:t>施工组织设计的提交和修改</w:t>
      </w:r>
    </w:p>
    <w:p>
      <w:pPr>
        <w:autoSpaceDE w:val="0"/>
        <w:autoSpaceDN w:val="0"/>
        <w:adjustRightInd w:val="0"/>
        <w:spacing w:line="360" w:lineRule="auto"/>
        <w:ind w:firstLine="420" w:firstLineChars="200"/>
        <w:jc w:val="left"/>
        <w:rPr>
          <w:rFonts w:hint="eastAsia" w:ascii="宋体" w:hAnsi="宋体" w:cs="宋体"/>
          <w:szCs w:val="21"/>
        </w:rPr>
      </w:pPr>
      <w:r>
        <w:rPr>
          <w:rFonts w:hint="eastAsia" w:ascii="宋体" w:hAnsi="宋体" w:cs="宋体"/>
          <w:color w:val="000000"/>
          <w:kern w:val="0"/>
          <w:szCs w:val="21"/>
          <w:highlight w:val="white"/>
        </w:rPr>
        <w:t>承包人提交详细施工组织设计的期限的约定：</w:t>
      </w:r>
      <w:r>
        <w:rPr>
          <w:rFonts w:hint="eastAsia" w:ascii="宋体" w:hAnsi="宋体" w:cs="宋体"/>
          <w:color w:val="000000"/>
          <w:szCs w:val="21"/>
          <w:highlight w:val="white"/>
          <w:u w:val="single"/>
        </w:rPr>
        <w:t xml:space="preserve"> 签订合同前提供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发包人和监理人在收到详细的施工组织设计后确认或提出修改意见的期限：</w:t>
      </w:r>
      <w:r>
        <w:rPr>
          <w:rFonts w:hint="eastAsia" w:ascii="宋体" w:hAnsi="宋体" w:cs="宋体"/>
          <w:color w:val="000000"/>
          <w:szCs w:val="21"/>
          <w:highlight w:val="white"/>
          <w:u w:val="single"/>
        </w:rPr>
        <w:t xml:space="preserve"> 7天内确认 </w:t>
      </w:r>
      <w:r>
        <w:rPr>
          <w:rFonts w:hint="eastAsia" w:ascii="宋体" w:hAnsi="宋体" w:cs="宋体"/>
          <w:color w:val="000000"/>
          <w:szCs w:val="21"/>
          <w:highlight w:val="white"/>
        </w:rPr>
        <w:t>。</w:t>
      </w:r>
    </w:p>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7</w:t>
      </w:r>
      <w:bookmarkStart w:id="765" w:name="_Toc297216173"/>
      <w:bookmarkStart w:id="766" w:name="_Toc297123514"/>
      <w:bookmarkStart w:id="767" w:name="_Toc304295541"/>
      <w:bookmarkStart w:id="768" w:name="_Toc303539123"/>
      <w:bookmarkStart w:id="769" w:name="_Toc312677479"/>
      <w:bookmarkStart w:id="770" w:name="_Toc300934966"/>
      <w:bookmarkStart w:id="771" w:name="_Toc312678005"/>
      <w:r>
        <w:rPr>
          <w:rFonts w:hint="eastAsia" w:ascii="宋体" w:hAnsi="宋体" w:cs="宋体"/>
          <w:color w:val="000000"/>
          <w:szCs w:val="21"/>
          <w:highlight w:val="white"/>
        </w:rPr>
        <w:t>.2 施工进度计划</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7.2.2 施工进度计划的修订</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发包人和监理人在收到修订的施工进度计划后确认或提出修改意见的期限：</w:t>
      </w:r>
      <w:r>
        <w:rPr>
          <w:rFonts w:hint="eastAsia" w:ascii="宋体" w:hAnsi="宋体" w:cs="宋体"/>
          <w:color w:val="000000"/>
          <w:szCs w:val="21"/>
          <w:highlight w:val="white"/>
          <w:u w:val="single"/>
        </w:rPr>
        <w:t xml:space="preserve"> 7天内确认 </w:t>
      </w:r>
      <w:r>
        <w:rPr>
          <w:rFonts w:hint="eastAsia" w:ascii="宋体" w:hAnsi="宋体" w:cs="宋体"/>
          <w:color w:val="000000"/>
          <w:szCs w:val="21"/>
          <w:highlight w:val="white"/>
        </w:rPr>
        <w:t>。</w:t>
      </w:r>
    </w:p>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7.3 开工</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7.3.1 开工准备</w:t>
      </w:r>
    </w:p>
    <w:p>
      <w:pPr>
        <w:spacing w:line="360" w:lineRule="auto"/>
        <w:ind w:firstLine="645"/>
        <w:jc w:val="left"/>
        <w:rPr>
          <w:rFonts w:hint="eastAsia" w:ascii="宋体" w:hAnsi="宋体" w:cs="宋体"/>
          <w:szCs w:val="21"/>
          <w:u w:val="single"/>
        </w:rPr>
      </w:pPr>
      <w:r>
        <w:rPr>
          <w:rFonts w:hint="eastAsia" w:ascii="宋体" w:hAnsi="宋体" w:cs="宋体"/>
          <w:color w:val="000000"/>
          <w:szCs w:val="21"/>
          <w:highlight w:val="white"/>
        </w:rPr>
        <w:t>关于承包人提交</w:t>
      </w:r>
      <w:r>
        <w:rPr>
          <w:rFonts w:hint="eastAsia" w:ascii="宋体" w:hAnsi="宋体" w:cs="宋体"/>
          <w:color w:val="000000"/>
          <w:kern w:val="0"/>
          <w:szCs w:val="21"/>
          <w:highlight w:val="white"/>
        </w:rPr>
        <w:t>工程开工报审表的期限：</w:t>
      </w:r>
      <w:r>
        <w:rPr>
          <w:rFonts w:hint="eastAsia" w:ascii="宋体" w:hAnsi="宋体" w:cs="宋体"/>
          <w:color w:val="000000"/>
          <w:szCs w:val="21"/>
          <w:highlight w:val="white"/>
          <w:u w:val="single"/>
        </w:rPr>
        <w:t xml:space="preserve"> 签订施工合同后3天内 </w:t>
      </w:r>
      <w:r>
        <w:rPr>
          <w:rFonts w:hint="eastAsia" w:ascii="宋体" w:hAnsi="宋体" w:cs="宋体"/>
          <w:color w:val="000000"/>
          <w:szCs w:val="21"/>
          <w:highlight w:val="white"/>
        </w:rPr>
        <w:t>。</w:t>
      </w:r>
    </w:p>
    <w:p>
      <w:pPr>
        <w:spacing w:line="360" w:lineRule="auto"/>
        <w:ind w:firstLine="645"/>
        <w:jc w:val="left"/>
        <w:rPr>
          <w:rFonts w:hint="eastAsia" w:ascii="宋体" w:hAnsi="宋体" w:cs="宋体"/>
          <w:szCs w:val="21"/>
        </w:rPr>
      </w:pPr>
      <w:r>
        <w:rPr>
          <w:rFonts w:hint="eastAsia" w:ascii="宋体" w:hAnsi="宋体" w:cs="宋体"/>
          <w:color w:val="000000"/>
          <w:szCs w:val="21"/>
          <w:highlight w:val="white"/>
        </w:rPr>
        <w:t>关于发包人应完成的其他开工准备工作及期限：</w:t>
      </w:r>
      <w:r>
        <w:rPr>
          <w:rFonts w:hint="eastAsia" w:ascii="宋体" w:hAnsi="宋体" w:cs="宋体"/>
          <w:color w:val="000000"/>
          <w:szCs w:val="21"/>
          <w:highlight w:val="white"/>
          <w:u w:val="single"/>
        </w:rPr>
        <w:t xml:space="preserve"> 正式开工前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关于承包人应完成的其他开工准备工作及期限：</w:t>
      </w:r>
      <w:r>
        <w:rPr>
          <w:rFonts w:hint="eastAsia" w:ascii="宋体" w:hAnsi="宋体" w:cs="宋体"/>
          <w:color w:val="000000"/>
          <w:szCs w:val="21"/>
          <w:highlight w:val="white"/>
          <w:u w:val="single"/>
        </w:rPr>
        <w:t xml:space="preserve"> 正式开工前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7.3.2开工通知</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因发包人原因造成监理人未能在计划开工日期之日起</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7</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天内发出开工通知的，承包人有权提出价格调整要求，或者解除合同。</w:t>
      </w:r>
    </w:p>
    <w:bookmarkEnd w:id="765"/>
    <w:bookmarkEnd w:id="766"/>
    <w:bookmarkEnd w:id="767"/>
    <w:bookmarkEnd w:id="768"/>
    <w:bookmarkEnd w:id="769"/>
    <w:bookmarkEnd w:id="770"/>
    <w:bookmarkEnd w:id="771"/>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highlight w:val="white"/>
        </w:rPr>
        <w:t>7.4 测量放线</w:t>
      </w:r>
    </w:p>
    <w:p>
      <w:pPr>
        <w:spacing w:line="360" w:lineRule="auto"/>
        <w:ind w:firstLine="420" w:firstLineChars="200"/>
        <w:jc w:val="left"/>
        <w:rPr>
          <w:rFonts w:hint="eastAsia" w:ascii="宋体" w:hAnsi="宋体" w:cs="宋体"/>
          <w:szCs w:val="21"/>
          <w:u w:val="single"/>
        </w:rPr>
      </w:pPr>
      <w:r>
        <w:rPr>
          <w:rFonts w:hint="eastAsia" w:ascii="宋体" w:hAnsi="宋体" w:cs="宋体"/>
          <w:color w:val="000000"/>
          <w:szCs w:val="21"/>
          <w:highlight w:val="white"/>
        </w:rPr>
        <w:t>7.4.1发包人通过监理人向承包人提供测量基准点、基准线和水准点及其书面资料的期限：</w:t>
      </w:r>
      <w:r>
        <w:rPr>
          <w:rFonts w:hint="eastAsia" w:ascii="宋体" w:hAnsi="宋体" w:cs="宋体"/>
          <w:color w:val="000000"/>
          <w:szCs w:val="21"/>
          <w:highlight w:val="white"/>
          <w:u w:val="single"/>
        </w:rPr>
        <w:t xml:space="preserve"> 按通用条款</w:t>
      </w:r>
      <w:r>
        <w:rPr>
          <w:rFonts w:hint="eastAsia" w:ascii="宋体" w:hAnsi="宋体" w:cs="宋体"/>
          <w:color w:val="000000"/>
          <w:szCs w:val="21"/>
          <w:highlight w:val="white"/>
          <w:u w:val="single"/>
          <w:lang w:eastAsia="zh-CN"/>
        </w:rPr>
        <w:t>执行</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7</w:t>
      </w:r>
      <w:bookmarkStart w:id="772" w:name="_Toc312677484"/>
      <w:bookmarkStart w:id="773" w:name="_Toc297216175"/>
      <w:bookmarkStart w:id="774" w:name="_Toc300934968"/>
      <w:bookmarkStart w:id="775" w:name="_Toc303539125"/>
      <w:bookmarkStart w:id="776" w:name="_Toc297123516"/>
      <w:bookmarkStart w:id="777" w:name="_Toc312678010"/>
      <w:bookmarkStart w:id="778" w:name="_Toc304295546"/>
      <w:r>
        <w:rPr>
          <w:rFonts w:hint="eastAsia" w:ascii="宋体" w:hAnsi="宋体" w:cs="宋体"/>
          <w:color w:val="000000"/>
          <w:szCs w:val="21"/>
          <w:highlight w:val="white"/>
        </w:rPr>
        <w:t>.5 工期延误</w:t>
      </w:r>
    </w:p>
    <w:bookmarkEnd w:id="772"/>
    <w:bookmarkEnd w:id="773"/>
    <w:bookmarkEnd w:id="774"/>
    <w:bookmarkEnd w:id="775"/>
    <w:bookmarkEnd w:id="776"/>
    <w:bookmarkEnd w:id="777"/>
    <w:bookmarkEnd w:id="778"/>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7.5.1 因发包人原因导致工期延误</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（7）因发包人原因导致工期延误的其他情形：</w:t>
      </w:r>
      <w:r>
        <w:rPr>
          <w:rFonts w:hint="eastAsia" w:ascii="宋体" w:hAnsi="宋体" w:cs="宋体"/>
          <w:color w:val="000000"/>
          <w:szCs w:val="21"/>
          <w:highlight w:val="white"/>
          <w:u w:val="single"/>
        </w:rPr>
        <w:t xml:space="preserve"> 若因发包人原因造成工期延误的，工期相应后延。因不可抗力的原因造成的工期延误，应在不可抗力事件结束之日起15天内经监理人、发包人的签证认可后，工期可相应顺延，双方办理同意顺延工期手续, 但不作费用赔偿和补偿</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7</w:t>
      </w:r>
      <w:bookmarkStart w:id="779" w:name="_Toc312678012"/>
      <w:bookmarkStart w:id="780" w:name="_Toc318581169"/>
      <w:bookmarkStart w:id="781" w:name="_Toc312677486"/>
      <w:bookmarkStart w:id="782" w:name="_Toc297123518"/>
      <w:bookmarkStart w:id="783" w:name="_Toc303539127"/>
      <w:bookmarkStart w:id="784" w:name="_Toc297216177"/>
      <w:bookmarkStart w:id="785" w:name="_Toc300934970"/>
      <w:bookmarkStart w:id="786" w:name="_Toc304295548"/>
      <w:r>
        <w:rPr>
          <w:rFonts w:hint="eastAsia" w:ascii="宋体" w:hAnsi="宋体" w:cs="宋体"/>
          <w:color w:val="000000"/>
          <w:szCs w:val="21"/>
          <w:highlight w:val="white"/>
        </w:rPr>
        <w:t>.5.2 因承包人原因导致工期延误</w:t>
      </w:r>
    </w:p>
    <w:bookmarkEnd w:id="779"/>
    <w:bookmarkEnd w:id="780"/>
    <w:bookmarkEnd w:id="781"/>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因</w:t>
      </w:r>
      <w:bookmarkStart w:id="787" w:name="_Toc312678013"/>
      <w:bookmarkStart w:id="788" w:name="_Toc312677487"/>
      <w:bookmarkStart w:id="789" w:name="_Toc318581170"/>
      <w:r>
        <w:rPr>
          <w:rFonts w:hint="eastAsia" w:ascii="宋体" w:hAnsi="宋体" w:cs="宋体"/>
          <w:color w:val="000000"/>
          <w:szCs w:val="21"/>
          <w:highlight w:val="white"/>
        </w:rPr>
        <w:t>承包人原因造成工期延误，逾期竣工违约金的计算方法为：</w:t>
      </w:r>
      <w:r>
        <w:rPr>
          <w:rFonts w:hint="eastAsia" w:ascii="宋体" w:hAnsi="宋体" w:cs="宋体"/>
          <w:color w:val="000000"/>
          <w:szCs w:val="21"/>
          <w:highlight w:val="white"/>
          <w:u w:val="single"/>
        </w:rPr>
        <w:t xml:space="preserve"> 承包人未能按发包人指定的期限内提供相应的服务，从逾期之日起每日按本合同总价</w:t>
      </w:r>
      <w:r>
        <w:rPr>
          <w:rFonts w:hint="eastAsia" w:ascii="宋体" w:hAnsi="宋体" w:cs="宋体"/>
          <w:color w:val="000000"/>
          <w:szCs w:val="21"/>
          <w:highlight w:val="white"/>
          <w:u w:val="single"/>
          <w:lang w:val="en-US" w:eastAsia="zh-CN"/>
        </w:rPr>
        <w:t>2</w:t>
      </w:r>
      <w:r>
        <w:rPr>
          <w:rFonts w:hint="eastAsia" w:ascii="宋体" w:hAnsi="宋体" w:cs="宋体"/>
          <w:color w:val="000000"/>
          <w:szCs w:val="21"/>
          <w:highlight w:val="white"/>
          <w:u w:val="single"/>
        </w:rPr>
        <w:t>‰的数额向发包人支付违约金</w:t>
      </w:r>
      <w:r>
        <w:rPr>
          <w:rFonts w:hint="eastAsia" w:ascii="宋体" w:hAnsi="宋体" w:cs="宋体"/>
          <w:color w:val="000000"/>
          <w:szCs w:val="21"/>
          <w:highlight w:val="white"/>
          <w:u w:val="single"/>
          <w:lang w:eastAsia="zh-CN"/>
        </w:rPr>
        <w:t>，累计不超过</w:t>
      </w:r>
      <w:r>
        <w:rPr>
          <w:rFonts w:hint="eastAsia" w:ascii="宋体" w:hAnsi="宋体" w:cs="宋体"/>
          <w:color w:val="000000"/>
          <w:szCs w:val="21"/>
          <w:highlight w:val="white"/>
          <w:u w:val="single"/>
        </w:rPr>
        <w:t>合同总价</w:t>
      </w:r>
      <w:r>
        <w:rPr>
          <w:rFonts w:hint="eastAsia" w:ascii="宋体" w:hAnsi="宋体" w:cs="宋体"/>
          <w:color w:val="000000"/>
          <w:szCs w:val="21"/>
          <w:highlight w:val="white"/>
          <w:u w:val="single"/>
          <w:lang w:eastAsia="zh-CN"/>
        </w:rPr>
        <w:t>的10%</w:t>
      </w:r>
      <w:r>
        <w:rPr>
          <w:rFonts w:hint="eastAsia" w:ascii="宋体" w:hAnsi="宋体" w:cs="宋体"/>
          <w:color w:val="000000"/>
          <w:szCs w:val="21"/>
          <w:highlight w:val="white"/>
          <w:u w:val="single"/>
        </w:rPr>
        <w:t>；逾期1</w:t>
      </w:r>
      <w:r>
        <w:rPr>
          <w:rFonts w:hint="eastAsia" w:ascii="宋体" w:hAnsi="宋体" w:cs="宋体"/>
          <w:color w:val="000000"/>
          <w:szCs w:val="21"/>
          <w:highlight w:val="white"/>
          <w:u w:val="single"/>
          <w:lang w:val="en-US" w:eastAsia="zh-CN"/>
        </w:rPr>
        <w:t>5</w:t>
      </w:r>
      <w:r>
        <w:rPr>
          <w:rFonts w:hint="eastAsia" w:ascii="宋体" w:hAnsi="宋体" w:cs="宋体"/>
          <w:color w:val="000000"/>
          <w:szCs w:val="21"/>
          <w:highlight w:val="white"/>
          <w:u w:val="single"/>
        </w:rPr>
        <w:t xml:space="preserve">天以上的，发包人有权终止合同，且由此造成的发包人经济损失由承包人承担 </w:t>
      </w:r>
      <w:r>
        <w:rPr>
          <w:rFonts w:hint="eastAsia" w:ascii="宋体" w:hAnsi="宋体" w:cs="宋体"/>
          <w:color w:val="000000"/>
          <w:szCs w:val="21"/>
          <w:highlight w:val="white"/>
        </w:rPr>
        <w:t>。</w:t>
      </w:r>
      <w:bookmarkEnd w:id="782"/>
      <w:bookmarkEnd w:id="783"/>
      <w:bookmarkEnd w:id="784"/>
      <w:bookmarkEnd w:id="785"/>
      <w:bookmarkEnd w:id="786"/>
      <w:bookmarkEnd w:id="787"/>
      <w:bookmarkEnd w:id="788"/>
    </w:p>
    <w:bookmarkEnd w:id="789"/>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因承包人原因造成工期延误，逾</w:t>
      </w:r>
      <w:bookmarkStart w:id="790" w:name="_Toc318581171"/>
      <w:bookmarkStart w:id="791" w:name="_Toc312678014"/>
      <w:r>
        <w:rPr>
          <w:rFonts w:hint="eastAsia" w:ascii="宋体" w:hAnsi="宋体" w:cs="宋体"/>
          <w:color w:val="000000"/>
          <w:szCs w:val="21"/>
          <w:highlight w:val="white"/>
        </w:rPr>
        <w:t>期竣工违约金的上限：</w:t>
      </w:r>
      <w:r>
        <w:rPr>
          <w:rFonts w:hint="eastAsia" w:ascii="宋体" w:hAnsi="宋体" w:cs="宋体"/>
          <w:color w:val="000000"/>
          <w:szCs w:val="21"/>
          <w:highlight w:val="white"/>
          <w:u w:val="single"/>
        </w:rPr>
        <w:t xml:space="preserve"> 合同总价的10% </w:t>
      </w:r>
      <w:r>
        <w:rPr>
          <w:rFonts w:hint="eastAsia" w:ascii="宋体" w:hAnsi="宋体" w:cs="宋体"/>
          <w:color w:val="000000"/>
          <w:szCs w:val="21"/>
          <w:highlight w:val="white"/>
        </w:rPr>
        <w:t>。</w:t>
      </w:r>
    </w:p>
    <w:bookmarkEnd w:id="790"/>
    <w:bookmarkEnd w:id="791"/>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7</w:t>
      </w:r>
      <w:bookmarkStart w:id="792" w:name="_Toc297216178"/>
      <w:bookmarkStart w:id="793" w:name="_Toc303539128"/>
      <w:bookmarkStart w:id="794" w:name="_Toc312678015"/>
      <w:bookmarkStart w:id="795" w:name="_Toc297123519"/>
      <w:bookmarkStart w:id="796" w:name="_Toc304295549"/>
      <w:bookmarkStart w:id="797" w:name="_Toc300934971"/>
      <w:r>
        <w:rPr>
          <w:rFonts w:hint="eastAsia" w:ascii="宋体" w:hAnsi="宋体" w:cs="宋体"/>
          <w:color w:val="000000"/>
          <w:szCs w:val="21"/>
          <w:highlight w:val="white"/>
        </w:rPr>
        <w:t>.6 不</w:t>
      </w:r>
      <w:bookmarkEnd w:id="792"/>
      <w:bookmarkEnd w:id="793"/>
      <w:bookmarkEnd w:id="794"/>
      <w:bookmarkEnd w:id="795"/>
      <w:bookmarkEnd w:id="796"/>
      <w:bookmarkEnd w:id="797"/>
      <w:r>
        <w:rPr>
          <w:rFonts w:hint="eastAsia" w:ascii="宋体" w:hAnsi="宋体" w:cs="宋体"/>
          <w:color w:val="000000"/>
          <w:szCs w:val="21"/>
          <w:highlight w:val="white"/>
        </w:rPr>
        <w:t>利物质条件</w:t>
      </w:r>
    </w:p>
    <w:p>
      <w:pPr>
        <w:spacing w:line="360" w:lineRule="auto"/>
        <w:ind w:firstLine="420" w:firstLineChars="200"/>
        <w:jc w:val="left"/>
        <w:rPr>
          <w:rFonts w:hint="eastAsia" w:ascii="宋体" w:hAnsi="宋体" w:cs="宋体"/>
          <w:szCs w:val="21"/>
        </w:rPr>
      </w:pPr>
      <w:bookmarkStart w:id="798" w:name="_Toc304295550"/>
      <w:bookmarkStart w:id="799" w:name="_Toc300934972"/>
      <w:bookmarkStart w:id="800" w:name="_Toc297123520"/>
      <w:bookmarkStart w:id="801" w:name="_Toc303539129"/>
      <w:bookmarkStart w:id="802" w:name="_Toc318581172"/>
      <w:bookmarkStart w:id="803" w:name="_Toc297216179"/>
      <w:bookmarkStart w:id="804" w:name="_Toc312678016"/>
      <w:r>
        <w:rPr>
          <w:rFonts w:hint="eastAsia" w:ascii="宋体" w:hAnsi="宋体" w:cs="宋体"/>
          <w:color w:val="000000"/>
          <w:szCs w:val="21"/>
          <w:highlight w:val="white"/>
        </w:rPr>
        <w:t>不利物质条件的其他情形和有关约定：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bookmarkEnd w:id="798"/>
    <w:bookmarkEnd w:id="799"/>
    <w:bookmarkEnd w:id="800"/>
    <w:bookmarkEnd w:id="801"/>
    <w:bookmarkEnd w:id="802"/>
    <w:bookmarkEnd w:id="803"/>
    <w:bookmarkEnd w:id="804"/>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7</w:t>
      </w:r>
      <w:bookmarkStart w:id="805" w:name="_Toc303539130"/>
      <w:bookmarkStart w:id="806" w:name="_Toc300934973"/>
      <w:bookmarkStart w:id="807" w:name="_Toc304295551"/>
      <w:bookmarkStart w:id="808" w:name="_Toc297216180"/>
      <w:bookmarkStart w:id="809" w:name="_Toc297123521"/>
      <w:bookmarkStart w:id="810" w:name="_Toc312678017"/>
      <w:r>
        <w:rPr>
          <w:rFonts w:hint="eastAsia" w:ascii="宋体" w:hAnsi="宋体" w:cs="宋体"/>
          <w:color w:val="000000"/>
          <w:szCs w:val="21"/>
          <w:highlight w:val="white"/>
        </w:rPr>
        <w:t>.7异常恶劣的气候条件</w:t>
      </w:r>
    </w:p>
    <w:bookmarkEnd w:id="805"/>
    <w:bookmarkEnd w:id="806"/>
    <w:bookmarkEnd w:id="807"/>
    <w:bookmarkEnd w:id="808"/>
    <w:bookmarkEnd w:id="809"/>
    <w:bookmarkEnd w:id="810"/>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发包人和承包人同意以下情形视为异常恶劣的气候条件：</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（1）</w:t>
      </w:r>
      <w:r>
        <w:rPr>
          <w:rFonts w:hint="eastAsia" w:ascii="宋体" w:hAnsi="宋体" w:cs="宋体"/>
          <w:color w:val="000000"/>
          <w:szCs w:val="21"/>
          <w:highlight w:val="white"/>
          <w:u w:val="single"/>
        </w:rPr>
        <w:t xml:space="preserve"> 8级以上（包含8级）的台风（按照国家相关安全生产规定）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（2）</w:t>
      </w:r>
      <w:r>
        <w:rPr>
          <w:rFonts w:hint="eastAsia" w:ascii="宋体" w:hAnsi="宋体" w:cs="宋体"/>
          <w:color w:val="000000"/>
          <w:szCs w:val="21"/>
          <w:highlight w:val="white"/>
          <w:u w:val="single"/>
        </w:rPr>
        <w:t xml:space="preserve"> 在连续24小时内降雨量超过50mm（包含50mm）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highlight w:val="white"/>
          <w:lang w:eastAsia="zh-CN"/>
        </w:rPr>
      </w:pPr>
      <w:r>
        <w:rPr>
          <w:rFonts w:hint="eastAsia" w:ascii="宋体" w:hAnsi="宋体" w:cs="宋体"/>
          <w:color w:val="000000"/>
          <w:szCs w:val="21"/>
          <w:highlight w:val="white"/>
        </w:rPr>
        <w:t>（3）</w:t>
      </w:r>
      <w:r>
        <w:rPr>
          <w:rFonts w:hint="eastAsia" w:ascii="宋体" w:hAnsi="宋体" w:cs="宋体"/>
          <w:color w:val="000000"/>
          <w:szCs w:val="21"/>
          <w:highlight w:val="white"/>
          <w:u w:val="single"/>
        </w:rPr>
        <w:t xml:space="preserve"> 在任何6小时内降雪量300 mm以上</w:t>
      </w:r>
      <w:r>
        <w:rPr>
          <w:rFonts w:hint="eastAsia" w:ascii="宋体" w:hAnsi="宋体" w:cs="宋体"/>
          <w:color w:val="000000"/>
          <w:szCs w:val="21"/>
          <w:highlight w:val="white"/>
          <w:lang w:eastAsia="zh-CN"/>
        </w:rPr>
        <w:t>；</w:t>
      </w:r>
    </w:p>
    <w:p>
      <w:pPr>
        <w:spacing w:line="360" w:lineRule="auto"/>
        <w:ind w:firstLine="420" w:firstLineChars="200"/>
        <w:jc w:val="left"/>
        <w:rPr>
          <w:rFonts w:hint="eastAsia" w:ascii="宋体" w:hAnsi="宋体" w:cs="宋体"/>
          <w:color w:val="000000"/>
          <w:szCs w:val="21"/>
          <w:highlight w:val="white"/>
          <w:lang w:eastAsia="zh-CN"/>
        </w:rPr>
      </w:pPr>
      <w:r>
        <w:rPr>
          <w:rFonts w:hint="eastAsia" w:ascii="宋体" w:hAnsi="宋体" w:cs="宋体"/>
          <w:color w:val="000000"/>
          <w:szCs w:val="21"/>
          <w:highlight w:val="white"/>
        </w:rPr>
        <w:t>（</w:t>
      </w:r>
      <w:r>
        <w:rPr>
          <w:rFonts w:hint="eastAsia" w:ascii="宋体" w:hAnsi="宋体" w:cs="宋体"/>
          <w:color w:val="000000"/>
          <w:szCs w:val="21"/>
          <w:highlight w:val="white"/>
          <w:lang w:val="en-US" w:eastAsia="zh-CN"/>
        </w:rPr>
        <w:t>4</w:t>
      </w:r>
      <w:r>
        <w:rPr>
          <w:rFonts w:hint="eastAsia" w:ascii="宋体" w:hAnsi="宋体" w:cs="宋体"/>
          <w:color w:val="000000"/>
          <w:szCs w:val="21"/>
          <w:highlight w:val="white"/>
        </w:rPr>
        <w:t>）</w:t>
      </w:r>
      <w:r>
        <w:rPr>
          <w:rFonts w:hint="eastAsia" w:ascii="宋体" w:hAnsi="宋体" w:cs="宋体"/>
          <w:color w:val="000000"/>
          <w:szCs w:val="21"/>
          <w:highlight w:val="white"/>
          <w:u w:val="single"/>
        </w:rPr>
        <w:t xml:space="preserve"> 摄氏40度以上（包含摄氏40度）的高温天气</w:t>
      </w:r>
      <w:r>
        <w:rPr>
          <w:rFonts w:hint="eastAsia" w:ascii="宋体" w:hAnsi="宋体" w:cs="宋体"/>
          <w:color w:val="000000"/>
          <w:szCs w:val="21"/>
          <w:highlight w:val="white"/>
          <w:lang w:eastAsia="zh-CN"/>
        </w:rPr>
        <w:t>；</w:t>
      </w:r>
    </w:p>
    <w:p>
      <w:pPr>
        <w:spacing w:line="360" w:lineRule="auto"/>
        <w:ind w:firstLine="420" w:firstLineChars="200"/>
        <w:jc w:val="left"/>
        <w:rPr>
          <w:rFonts w:hint="eastAsia" w:ascii="宋体" w:hAnsi="宋体" w:eastAsia="宋体" w:cs="宋体"/>
          <w:color w:val="000000"/>
          <w:szCs w:val="21"/>
          <w:highlight w:val="white"/>
          <w:lang w:eastAsia="zh-CN"/>
        </w:rPr>
      </w:pPr>
      <w:r>
        <w:rPr>
          <w:rFonts w:hint="eastAsia" w:ascii="宋体" w:hAnsi="宋体" w:cs="宋体"/>
          <w:color w:val="000000"/>
          <w:szCs w:val="21"/>
          <w:highlight w:val="white"/>
        </w:rPr>
        <w:t>（</w:t>
      </w:r>
      <w:r>
        <w:rPr>
          <w:rFonts w:hint="eastAsia" w:ascii="宋体" w:hAnsi="宋体" w:cs="宋体"/>
          <w:color w:val="000000"/>
          <w:szCs w:val="21"/>
          <w:highlight w:val="white"/>
          <w:lang w:val="en-US" w:eastAsia="zh-CN"/>
        </w:rPr>
        <w:t>5</w:t>
      </w:r>
      <w:r>
        <w:rPr>
          <w:rFonts w:hint="eastAsia" w:ascii="宋体" w:hAnsi="宋体" w:cs="宋体"/>
          <w:color w:val="000000"/>
          <w:szCs w:val="21"/>
          <w:highlight w:val="white"/>
        </w:rPr>
        <w:t>）</w:t>
      </w:r>
      <w:r>
        <w:rPr>
          <w:rFonts w:hint="eastAsia" w:ascii="宋体" w:hAnsi="宋体" w:cs="宋体"/>
          <w:color w:val="000000"/>
          <w:szCs w:val="21"/>
          <w:highlight w:val="white"/>
          <w:u w:val="single"/>
        </w:rPr>
        <w:t xml:space="preserve"> 摄氏零下5度以下（包含零下5度）的严寒天气</w:t>
      </w:r>
      <w:r>
        <w:rPr>
          <w:rFonts w:hint="eastAsia" w:ascii="宋体" w:hAnsi="宋体" w:cs="宋体"/>
          <w:color w:val="000000"/>
          <w:szCs w:val="21"/>
          <w:highlight w:val="white"/>
          <w:u w:val="single"/>
          <w:lang w:eastAsia="zh-CN"/>
        </w:rPr>
        <w:t>。</w:t>
      </w:r>
    </w:p>
    <w:p>
      <w:pPr>
        <w:spacing w:line="360" w:lineRule="auto"/>
        <w:ind w:firstLine="420" w:firstLineChars="200"/>
        <w:jc w:val="left"/>
        <w:rPr>
          <w:rFonts w:hint="eastAsia" w:ascii="宋体" w:hAnsi="宋体" w:eastAsia="宋体" w:cs="宋体"/>
          <w:i w:val="0"/>
          <w:iCs w:val="0"/>
          <w:color w:val="000000"/>
          <w:szCs w:val="21"/>
          <w:highlight w:val="white"/>
          <w:u w:val="single"/>
          <w:lang w:eastAsia="zh-CN"/>
        </w:rPr>
      </w:pPr>
      <w:r>
        <w:rPr>
          <w:rFonts w:hint="eastAsia" w:ascii="宋体" w:hAnsi="宋体" w:eastAsia="宋体" w:cs="宋体"/>
          <w:i w:val="0"/>
          <w:iCs w:val="0"/>
          <w:color w:val="000000"/>
          <w:szCs w:val="21"/>
          <w:highlight w:val="white"/>
          <w:u w:val="single"/>
          <w:lang w:eastAsia="zh-CN"/>
        </w:rPr>
        <w:t>所有上述风、雨、雪、气温等都以佛山气象局测定或公布的数据为准。</w:t>
      </w:r>
    </w:p>
    <w:p>
      <w:pPr>
        <w:spacing w:line="360" w:lineRule="auto"/>
        <w:ind w:firstLine="420" w:firstLineChars="200"/>
        <w:jc w:val="left"/>
        <w:rPr>
          <w:rFonts w:hint="eastAsia" w:ascii="宋体" w:hAnsi="宋体" w:eastAsia="宋体" w:cs="宋体"/>
          <w:i w:val="0"/>
          <w:iCs w:val="0"/>
          <w:color w:val="000000"/>
          <w:szCs w:val="21"/>
          <w:highlight w:val="white"/>
          <w:u w:val="single"/>
          <w:lang w:eastAsia="zh-CN"/>
        </w:rPr>
      </w:pPr>
      <w:r>
        <w:rPr>
          <w:rFonts w:hint="eastAsia" w:ascii="宋体" w:hAnsi="宋体" w:eastAsia="宋体" w:cs="宋体"/>
          <w:i w:val="0"/>
          <w:iCs w:val="0"/>
          <w:color w:val="000000"/>
          <w:szCs w:val="21"/>
          <w:highlight w:val="white"/>
          <w:u w:val="single"/>
        </w:rPr>
        <w:t>承包人在响应时已充分考虑有关的风险费用，因采取合理措施而增加的费用由承包人自行承担，但工期可作相应延期。</w:t>
      </w:r>
    </w:p>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7.9 提前竣工的奖励</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7.9.2提前竣工的奖励：</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rPr>
          <w:rFonts w:hint="eastAsia" w:ascii="宋体" w:hAnsi="宋体" w:cs="宋体"/>
          <w:b/>
          <w:szCs w:val="21"/>
        </w:rPr>
      </w:pPr>
      <w:bookmarkStart w:id="811" w:name="_Toc393093288"/>
      <w:bookmarkStart w:id="812" w:name="_Toc392078594"/>
      <w:bookmarkStart w:id="813" w:name="_Toc389066720"/>
      <w:bookmarkStart w:id="814" w:name="_Toc394329417"/>
      <w:bookmarkStart w:id="815" w:name="_Toc389146887"/>
      <w:bookmarkStart w:id="816" w:name="_Toc351203640"/>
      <w:r>
        <w:rPr>
          <w:rFonts w:hint="eastAsia" w:ascii="宋体" w:hAnsi="宋体" w:cs="宋体"/>
          <w:b/>
          <w:color w:val="000000"/>
          <w:szCs w:val="21"/>
          <w:highlight w:val="white"/>
        </w:rPr>
        <w:t>8. 材料与设备</w:t>
      </w:r>
      <w:bookmarkEnd w:id="811"/>
      <w:bookmarkEnd w:id="812"/>
      <w:bookmarkEnd w:id="813"/>
      <w:bookmarkEnd w:id="814"/>
      <w:bookmarkEnd w:id="815"/>
      <w:bookmarkEnd w:id="816"/>
    </w:p>
    <w:bookmarkEnd w:id="736"/>
    <w:bookmarkEnd w:id="737"/>
    <w:bookmarkEnd w:id="738"/>
    <w:bookmarkEnd w:id="739"/>
    <w:bookmarkEnd w:id="740"/>
    <w:bookmarkEnd w:id="741"/>
    <w:bookmarkEnd w:id="742"/>
    <w:bookmarkEnd w:id="743"/>
    <w:bookmarkEnd w:id="744"/>
    <w:bookmarkEnd w:id="745"/>
    <w:p>
      <w:pPr>
        <w:spacing w:line="360" w:lineRule="auto"/>
        <w:ind w:firstLine="420" w:firstLineChars="200"/>
        <w:rPr>
          <w:rFonts w:hint="eastAsia" w:ascii="宋体" w:hAnsi="宋体" w:cs="宋体"/>
          <w:szCs w:val="21"/>
        </w:rPr>
      </w:pPr>
      <w:r>
        <w:rPr>
          <w:rFonts w:hint="eastAsia" w:ascii="宋体" w:hAnsi="宋体" w:cs="宋体"/>
          <w:szCs w:val="21"/>
        </w:rPr>
        <w:t>8</w:t>
      </w:r>
      <w:bookmarkStart w:id="817" w:name="_Toc296890995"/>
      <w:bookmarkStart w:id="818" w:name="_Toc292559372"/>
      <w:bookmarkStart w:id="819" w:name="_Toc312677493"/>
      <w:bookmarkStart w:id="820" w:name="_Toc297120467"/>
      <w:bookmarkStart w:id="821" w:name="_Toc296503167"/>
      <w:bookmarkStart w:id="822" w:name="_Toc297048353"/>
      <w:bookmarkStart w:id="823" w:name="_Toc292559877"/>
      <w:bookmarkStart w:id="824" w:name="_Toc280868654"/>
      <w:bookmarkStart w:id="825" w:name="_Toc296347166"/>
      <w:bookmarkStart w:id="826" w:name="_Toc303539136"/>
      <w:bookmarkStart w:id="827" w:name="_Toc304295556"/>
      <w:bookmarkStart w:id="828" w:name="_Toc312678019"/>
      <w:bookmarkStart w:id="829" w:name="_Toc296891207"/>
      <w:bookmarkStart w:id="830" w:name="_Toc300934979"/>
      <w:bookmarkStart w:id="831" w:name="_Toc296346668"/>
      <w:bookmarkStart w:id="832" w:name="_Toc297216186"/>
      <w:bookmarkStart w:id="833" w:name="_Toc297123527"/>
      <w:bookmarkStart w:id="834" w:name="_Toc296944506"/>
      <w:bookmarkStart w:id="835" w:name="_Toc267251424"/>
      <w:bookmarkStart w:id="836" w:name="_Toc280868655"/>
      <w:bookmarkStart w:id="837" w:name="_Toc280868656"/>
      <w:r>
        <w:rPr>
          <w:rFonts w:hint="eastAsia" w:ascii="宋体" w:hAnsi="宋体" w:cs="宋体"/>
          <w:color w:val="000000"/>
          <w:szCs w:val="21"/>
          <w:highlight w:val="white"/>
        </w:rPr>
        <w:t>.4材料与工程设备的保管与使用</w:t>
      </w:r>
    </w:p>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8</w:t>
      </w:r>
      <w:bookmarkStart w:id="838" w:name="_Toc292559373"/>
      <w:bookmarkStart w:id="839" w:name="_Toc292559878"/>
      <w:bookmarkStart w:id="840" w:name="_Toc312677494"/>
      <w:bookmarkStart w:id="841" w:name="_Toc296503168"/>
      <w:bookmarkStart w:id="842" w:name="_Toc296891208"/>
      <w:bookmarkStart w:id="843" w:name="_Toc297123528"/>
      <w:bookmarkStart w:id="844" w:name="_Toc297120468"/>
      <w:bookmarkStart w:id="845" w:name="_Toc300934980"/>
      <w:bookmarkStart w:id="846" w:name="_Toc297048354"/>
      <w:bookmarkStart w:id="847" w:name="_Toc296890996"/>
      <w:bookmarkStart w:id="848" w:name="_Toc303539137"/>
      <w:bookmarkStart w:id="849" w:name="_Toc296346669"/>
      <w:bookmarkStart w:id="850" w:name="_Toc297216187"/>
      <w:bookmarkStart w:id="851" w:name="_Toc304295557"/>
      <w:bookmarkStart w:id="852" w:name="_Toc318581173"/>
      <w:bookmarkStart w:id="853" w:name="_Toc296944507"/>
      <w:bookmarkStart w:id="854" w:name="_Toc296347167"/>
      <w:bookmarkStart w:id="855" w:name="_Toc312678020"/>
      <w:r>
        <w:rPr>
          <w:rFonts w:hint="eastAsia" w:ascii="宋体" w:hAnsi="宋体" w:cs="宋体"/>
          <w:color w:val="000000"/>
          <w:szCs w:val="21"/>
          <w:highlight w:val="white"/>
        </w:rPr>
        <w:t>.4.1发包人供应的材料设备的保管费用的承担：</w:t>
      </w:r>
      <w:r>
        <w:rPr>
          <w:rFonts w:hint="eastAsia" w:ascii="宋体" w:hAnsi="宋体" w:cs="宋体"/>
          <w:color w:val="000000"/>
          <w:szCs w:val="21"/>
          <w:highlight w:val="white"/>
          <w:u w:val="single"/>
        </w:rPr>
        <w:t xml:space="preserve"> 由承包人承担 </w:t>
      </w:r>
      <w:r>
        <w:rPr>
          <w:rFonts w:hint="eastAsia" w:ascii="宋体" w:hAnsi="宋体" w:cs="宋体"/>
          <w:color w:val="000000"/>
          <w:szCs w:val="21"/>
          <w:highlight w:val="white"/>
        </w:rPr>
        <w:t>。</w:t>
      </w:r>
      <w:bookmarkEnd w:id="838"/>
      <w:bookmarkEnd w:id="839"/>
    </w:p>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8.6 样品</w:t>
      </w:r>
    </w:p>
    <w:p>
      <w:pPr>
        <w:autoSpaceDE w:val="0"/>
        <w:autoSpaceDN w:val="0"/>
        <w:adjustRightInd w:val="0"/>
        <w:spacing w:line="360" w:lineRule="auto"/>
        <w:ind w:firstLine="420" w:firstLineChars="200"/>
        <w:jc w:val="left"/>
        <w:rPr>
          <w:rFonts w:hint="eastAsia" w:ascii="宋体" w:hAnsi="宋体" w:cs="宋体"/>
          <w:kern w:val="0"/>
          <w:szCs w:val="21"/>
        </w:rPr>
      </w:pPr>
      <w:r>
        <w:rPr>
          <w:rFonts w:hint="eastAsia" w:ascii="宋体" w:hAnsi="宋体" w:cs="宋体"/>
          <w:color w:val="000000"/>
          <w:kern w:val="0"/>
          <w:szCs w:val="21"/>
          <w:highlight w:val="white"/>
        </w:rPr>
        <w:t>8.6.1</w:t>
      </w:r>
      <w:r>
        <w:rPr>
          <w:rFonts w:hint="eastAsia" w:ascii="宋体" w:hAnsi="宋体" w:cs="宋体"/>
          <w:color w:val="000000"/>
          <w:kern w:val="0"/>
          <w:szCs w:val="21"/>
          <w:highlight w:val="white"/>
        </w:rPr>
        <w:tab/>
      </w:r>
      <w:r>
        <w:rPr>
          <w:rFonts w:hint="eastAsia" w:ascii="宋体" w:hAnsi="宋体" w:cs="宋体"/>
          <w:color w:val="000000"/>
          <w:kern w:val="0"/>
          <w:szCs w:val="21"/>
          <w:highlight w:val="white"/>
        </w:rPr>
        <w:t>样品的报送与封存</w:t>
      </w:r>
    </w:p>
    <w:p>
      <w:pPr>
        <w:autoSpaceDE w:val="0"/>
        <w:autoSpaceDN w:val="0"/>
        <w:adjustRightInd w:val="0"/>
        <w:spacing w:line="360" w:lineRule="auto"/>
        <w:ind w:firstLine="420" w:firstLineChars="200"/>
        <w:jc w:val="left"/>
        <w:rPr>
          <w:rFonts w:hint="eastAsia" w:ascii="宋体" w:hAnsi="宋体" w:cs="宋体"/>
          <w:kern w:val="0"/>
          <w:szCs w:val="21"/>
        </w:rPr>
      </w:pPr>
      <w:r>
        <w:rPr>
          <w:rFonts w:hint="eastAsia" w:ascii="宋体" w:hAnsi="宋体" w:cs="宋体"/>
          <w:color w:val="000000"/>
          <w:kern w:val="0"/>
          <w:szCs w:val="21"/>
          <w:highlight w:val="white"/>
        </w:rPr>
        <w:t>需要承包人报送样品的材料或工程设备，样品的种类、名称、规格、数量要求：</w:t>
      </w:r>
    </w:p>
    <w:p>
      <w:pPr>
        <w:autoSpaceDE w:val="0"/>
        <w:autoSpaceDN w:val="0"/>
        <w:adjustRightInd w:val="0"/>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u w:val="single"/>
        </w:rPr>
        <w:t xml:space="preserve"> 由承包人负责采购并用于本工程的主要材料中，可以提供实物样品的，应当提供实物样品；不能提供实物样品的（如栽植物等），应当提供实物照片作为验收参考。所有的工程材料均需经发包人认可后方可实施采购，到货后须经发包人或监理人检验后方可投入工程施工；否则， 因质量或效果未能达到监理及发包人要求而造成的返工费用由承包人承担，并承担工期延误的所有责任。承包人采购材料和设备由其自行负责运输和保管 </w:t>
      </w:r>
      <w:r>
        <w:rPr>
          <w:rFonts w:hint="eastAsia" w:ascii="宋体" w:hAnsi="宋体" w:cs="宋体"/>
          <w:color w:val="000000"/>
          <w:szCs w:val="21"/>
          <w:highlight w:val="white"/>
        </w:rPr>
        <w:t>。</w:t>
      </w:r>
    </w:p>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8.8 施工设备和临时设施</w:t>
      </w:r>
    </w:p>
    <w:p>
      <w:pPr>
        <w:autoSpaceDE w:val="0"/>
        <w:autoSpaceDN w:val="0"/>
        <w:adjustRightInd w:val="0"/>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8.8.1 承包人提供的施工设备和临时设施</w:t>
      </w:r>
    </w:p>
    <w:p>
      <w:pPr>
        <w:autoSpaceDE w:val="0"/>
        <w:autoSpaceDN w:val="0"/>
        <w:adjustRightInd w:val="0"/>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关于修建临时设施费用承担的约定：</w:t>
      </w:r>
      <w:r>
        <w:rPr>
          <w:rFonts w:hint="eastAsia" w:ascii="宋体" w:hAnsi="宋体" w:cs="宋体"/>
          <w:color w:val="000000"/>
          <w:szCs w:val="21"/>
          <w:highlight w:val="white"/>
          <w:u w:val="single"/>
        </w:rPr>
        <w:t xml:space="preserve"> 按通用条款执行，由承包人自行承担 </w:t>
      </w:r>
      <w:r>
        <w:rPr>
          <w:rFonts w:hint="eastAsia" w:ascii="宋体" w:hAnsi="宋体" w:cs="宋体"/>
          <w:color w:val="000000"/>
          <w:szCs w:val="21"/>
          <w:highlight w:val="white"/>
        </w:rPr>
        <w:t>。</w:t>
      </w:r>
    </w:p>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Pr>
        <w:spacing w:line="360" w:lineRule="auto"/>
        <w:rPr>
          <w:rFonts w:hint="eastAsia" w:ascii="宋体" w:hAnsi="宋体" w:cs="宋体"/>
          <w:b/>
          <w:szCs w:val="21"/>
        </w:rPr>
      </w:pPr>
      <w:bookmarkStart w:id="856" w:name="_Toc394329418"/>
      <w:bookmarkStart w:id="857" w:name="_Toc392078595"/>
      <w:bookmarkStart w:id="858" w:name="_Toc389066721"/>
      <w:bookmarkStart w:id="859" w:name="_Toc351203641"/>
      <w:bookmarkStart w:id="860" w:name="_Toc393093289"/>
      <w:bookmarkStart w:id="861" w:name="_Toc389146888"/>
      <w:r>
        <w:rPr>
          <w:rFonts w:hint="eastAsia" w:ascii="宋体" w:hAnsi="宋体" w:cs="宋体"/>
          <w:b/>
          <w:color w:val="000000"/>
          <w:szCs w:val="21"/>
          <w:highlight w:val="white"/>
        </w:rPr>
        <w:t>9</w:t>
      </w:r>
      <w:bookmarkEnd w:id="835"/>
      <w:bookmarkEnd w:id="836"/>
      <w:bookmarkEnd w:id="837"/>
      <w:bookmarkStart w:id="862" w:name="_Toc297216192"/>
      <w:bookmarkStart w:id="863" w:name="_Toc312677495"/>
      <w:bookmarkStart w:id="864" w:name="_Toc312678021"/>
      <w:bookmarkStart w:id="865" w:name="_Toc304295559"/>
      <w:bookmarkStart w:id="866" w:name="_Toc303539139"/>
      <w:bookmarkStart w:id="867" w:name="_Toc297123533"/>
      <w:bookmarkStart w:id="868" w:name="_Toc300934982"/>
      <w:bookmarkStart w:id="869" w:name="_Toc292559883"/>
      <w:bookmarkStart w:id="870" w:name="_Toc296503173"/>
      <w:bookmarkStart w:id="871" w:name="_Toc296891213"/>
      <w:bookmarkStart w:id="872" w:name="_Toc296347172"/>
      <w:bookmarkStart w:id="873" w:name="_Toc297048359"/>
      <w:bookmarkStart w:id="874" w:name="_Toc297120473"/>
      <w:bookmarkStart w:id="875" w:name="_Toc296944512"/>
      <w:bookmarkStart w:id="876" w:name="_Toc292559378"/>
      <w:bookmarkStart w:id="877" w:name="_Toc267251428"/>
      <w:bookmarkStart w:id="878" w:name="_Toc267251427"/>
      <w:bookmarkStart w:id="879" w:name="_Toc296346674"/>
      <w:bookmarkStart w:id="880" w:name="_Toc296891001"/>
      <w:r>
        <w:rPr>
          <w:rFonts w:hint="eastAsia" w:ascii="宋体" w:hAnsi="宋体" w:cs="宋体"/>
          <w:b/>
          <w:color w:val="000000"/>
          <w:szCs w:val="21"/>
          <w:highlight w:val="white"/>
        </w:rPr>
        <w:t>. 试验与检验</w:t>
      </w:r>
      <w:bookmarkEnd w:id="856"/>
      <w:bookmarkEnd w:id="857"/>
      <w:bookmarkEnd w:id="858"/>
      <w:bookmarkEnd w:id="859"/>
      <w:bookmarkEnd w:id="860"/>
      <w:bookmarkEnd w:id="861"/>
    </w:p>
    <w:bookmarkEnd w:id="862"/>
    <w:bookmarkEnd w:id="863"/>
    <w:bookmarkEnd w:id="864"/>
    <w:bookmarkEnd w:id="865"/>
    <w:bookmarkEnd w:id="866"/>
    <w:bookmarkEnd w:id="867"/>
    <w:bookmarkEnd w:id="868"/>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9</w:t>
      </w:r>
      <w:bookmarkStart w:id="881" w:name="_Toc303539140"/>
      <w:bookmarkStart w:id="882" w:name="_Toc312677496"/>
      <w:bookmarkStart w:id="883" w:name="_Toc304295560"/>
      <w:bookmarkStart w:id="884" w:name="_Toc297216193"/>
      <w:bookmarkStart w:id="885" w:name="_Toc300934983"/>
      <w:bookmarkStart w:id="886" w:name="_Toc297123534"/>
      <w:bookmarkStart w:id="887" w:name="_Toc312678022"/>
      <w:r>
        <w:rPr>
          <w:rFonts w:hint="eastAsia" w:ascii="宋体" w:hAnsi="宋体" w:cs="宋体"/>
          <w:color w:val="000000"/>
          <w:szCs w:val="21"/>
          <w:highlight w:val="white"/>
        </w:rPr>
        <w:t>.1试验设备与试验人员</w:t>
      </w:r>
    </w:p>
    <w:bookmarkEnd w:id="881"/>
    <w:bookmarkEnd w:id="882"/>
    <w:bookmarkEnd w:id="883"/>
    <w:bookmarkEnd w:id="884"/>
    <w:bookmarkEnd w:id="885"/>
    <w:bookmarkEnd w:id="886"/>
    <w:bookmarkEnd w:id="887"/>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9</w:t>
      </w:r>
      <w:bookmarkStart w:id="888" w:name="_Toc312678023"/>
      <w:bookmarkStart w:id="889" w:name="_Toc304295561"/>
      <w:bookmarkStart w:id="890" w:name="_Toc300934984"/>
      <w:bookmarkStart w:id="891" w:name="_Toc303539141"/>
      <w:bookmarkStart w:id="892" w:name="_Toc297123535"/>
      <w:bookmarkStart w:id="893" w:name="_Toc297216194"/>
      <w:bookmarkStart w:id="894" w:name="_Toc312677497"/>
      <w:bookmarkStart w:id="895" w:name="_Toc318581174"/>
      <w:r>
        <w:rPr>
          <w:rFonts w:hint="eastAsia" w:ascii="宋体" w:hAnsi="宋体" w:cs="宋体"/>
          <w:color w:val="000000"/>
          <w:szCs w:val="21"/>
          <w:highlight w:val="white"/>
        </w:rPr>
        <w:t>.1.2 试验设备</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施工现场需要配置的试验场所：</w:t>
      </w:r>
      <w:bookmarkEnd w:id="888"/>
      <w:bookmarkEnd w:id="889"/>
      <w:bookmarkEnd w:id="890"/>
      <w:bookmarkEnd w:id="891"/>
      <w:bookmarkEnd w:id="892"/>
      <w:bookmarkEnd w:id="893"/>
      <w:bookmarkEnd w:id="894"/>
      <w:bookmarkStart w:id="896" w:name="_Toc312678024"/>
      <w:bookmarkStart w:id="897" w:name="_Toc312677498"/>
      <w:bookmarkStart w:id="898" w:name="_Toc297216195"/>
      <w:bookmarkStart w:id="899" w:name="_Toc297123536"/>
      <w:bookmarkStart w:id="900" w:name="_Toc303539142"/>
      <w:bookmarkStart w:id="901" w:name="_Toc300934985"/>
      <w:bookmarkStart w:id="902" w:name="_Toc304295562"/>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 xml:space="preserve">。 </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施工现场需要配备的试验设备：</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施工现场需要具备的其他试验条件：</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 xml:space="preserve">9.4 现场工艺试验 </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现场工艺试验的有关约定：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bookmarkEnd w:id="895"/>
    <w:bookmarkEnd w:id="896"/>
    <w:bookmarkEnd w:id="897"/>
    <w:bookmarkEnd w:id="898"/>
    <w:bookmarkEnd w:id="899"/>
    <w:bookmarkEnd w:id="900"/>
    <w:bookmarkEnd w:id="901"/>
    <w:bookmarkEnd w:id="902"/>
    <w:p>
      <w:pPr>
        <w:spacing w:line="360" w:lineRule="auto"/>
        <w:rPr>
          <w:rFonts w:hint="eastAsia" w:ascii="宋体" w:hAnsi="宋体" w:cs="宋体"/>
          <w:b/>
          <w:szCs w:val="21"/>
        </w:rPr>
      </w:pPr>
      <w:bookmarkStart w:id="903" w:name="_Toc389146889"/>
      <w:bookmarkStart w:id="904" w:name="_Toc393093290"/>
      <w:bookmarkStart w:id="905" w:name="_Toc394329419"/>
      <w:bookmarkStart w:id="906" w:name="_Toc351203642"/>
      <w:bookmarkStart w:id="907" w:name="_Toc392078596"/>
      <w:bookmarkStart w:id="908" w:name="_Toc389066722"/>
      <w:r>
        <w:rPr>
          <w:rFonts w:hint="eastAsia" w:ascii="宋体" w:hAnsi="宋体" w:cs="宋体"/>
          <w:b/>
          <w:color w:val="000000"/>
          <w:szCs w:val="21"/>
          <w:highlight w:val="white"/>
        </w:rPr>
        <w:t>1</w:t>
      </w:r>
      <w:bookmarkEnd w:id="869"/>
      <w:bookmarkEnd w:id="870"/>
      <w:bookmarkEnd w:id="871"/>
      <w:bookmarkEnd w:id="872"/>
      <w:bookmarkEnd w:id="873"/>
      <w:bookmarkEnd w:id="874"/>
      <w:bookmarkEnd w:id="875"/>
      <w:bookmarkEnd w:id="876"/>
      <w:bookmarkEnd w:id="877"/>
      <w:bookmarkEnd w:id="878"/>
      <w:bookmarkEnd w:id="879"/>
      <w:bookmarkEnd w:id="880"/>
      <w:bookmarkStart w:id="909" w:name="_Toc297048379"/>
      <w:bookmarkStart w:id="910" w:name="_Toc296346694"/>
      <w:bookmarkStart w:id="911" w:name="_Toc292559398"/>
      <w:bookmarkStart w:id="912" w:name="_Toc297123540"/>
      <w:bookmarkStart w:id="913" w:name="_Toc296891233"/>
      <w:bookmarkStart w:id="914" w:name="_Toc296347192"/>
      <w:bookmarkStart w:id="915" w:name="_Toc297120493"/>
      <w:bookmarkStart w:id="916" w:name="_Toc300934989"/>
      <w:bookmarkStart w:id="917" w:name="_Toc296503193"/>
      <w:bookmarkStart w:id="918" w:name="_Toc296891021"/>
      <w:bookmarkStart w:id="919" w:name="_Toc297216199"/>
      <w:bookmarkStart w:id="920" w:name="_Toc292559903"/>
      <w:bookmarkStart w:id="921" w:name="_Toc303539146"/>
      <w:bookmarkStart w:id="922" w:name="_Toc296944532"/>
      <w:bookmarkStart w:id="923" w:name="_Toc304295566"/>
      <w:bookmarkStart w:id="924" w:name="_Toc312678025"/>
      <w:bookmarkStart w:id="925" w:name="_Toc312677499"/>
      <w:bookmarkStart w:id="926" w:name="_Toc267251437"/>
      <w:bookmarkStart w:id="927" w:name="_Toc267251433"/>
      <w:bookmarkStart w:id="928" w:name="_Toc267251441"/>
      <w:bookmarkStart w:id="929" w:name="_Toc267251435"/>
      <w:bookmarkStart w:id="930" w:name="_Toc267251439"/>
      <w:bookmarkStart w:id="931" w:name="_Toc267251440"/>
      <w:bookmarkStart w:id="932" w:name="_Toc267251442"/>
      <w:r>
        <w:rPr>
          <w:rFonts w:hint="eastAsia" w:ascii="宋体" w:hAnsi="宋体" w:cs="宋体"/>
          <w:b/>
          <w:color w:val="000000"/>
          <w:szCs w:val="21"/>
          <w:highlight w:val="white"/>
        </w:rPr>
        <w:t>0. 变更</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bookmarkEnd w:id="924"/>
    <w:bookmarkEnd w:id="925"/>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1</w:t>
      </w:r>
      <w:bookmarkStart w:id="933" w:name="_Toc296503194"/>
      <w:bookmarkStart w:id="934" w:name="_Toc296891234"/>
      <w:bookmarkStart w:id="935" w:name="_Toc297123541"/>
      <w:bookmarkStart w:id="936" w:name="_Toc297120494"/>
      <w:bookmarkStart w:id="937" w:name="_Toc297048380"/>
      <w:bookmarkStart w:id="938" w:name="_Toc296347193"/>
      <w:bookmarkStart w:id="939" w:name="_Toc297216200"/>
      <w:bookmarkStart w:id="940" w:name="_Toc296891022"/>
      <w:bookmarkStart w:id="941" w:name="_Toc296346695"/>
      <w:bookmarkStart w:id="942" w:name="_Toc303539147"/>
      <w:bookmarkStart w:id="943" w:name="_Toc300934990"/>
      <w:bookmarkStart w:id="944" w:name="_Toc312678026"/>
      <w:bookmarkStart w:id="945" w:name="_Toc292559904"/>
      <w:bookmarkStart w:id="946" w:name="_Toc304295567"/>
      <w:bookmarkStart w:id="947" w:name="_Toc292559399"/>
      <w:bookmarkStart w:id="948" w:name="_Toc296944533"/>
      <w:bookmarkStart w:id="949" w:name="_Toc312677500"/>
      <w:r>
        <w:rPr>
          <w:rFonts w:hint="eastAsia" w:ascii="宋体" w:hAnsi="宋体" w:cs="宋体"/>
          <w:color w:val="000000"/>
          <w:szCs w:val="21"/>
          <w:highlight w:val="white"/>
        </w:rPr>
        <w:t>0.1变更的范围</w:t>
      </w:r>
    </w:p>
    <w:p>
      <w:pPr>
        <w:spacing w:line="360" w:lineRule="auto"/>
        <w:ind w:firstLine="600"/>
        <w:jc w:val="left"/>
        <w:rPr>
          <w:rFonts w:hint="eastAsia" w:ascii="宋体" w:hAnsi="宋体" w:cs="宋体"/>
          <w:szCs w:val="21"/>
        </w:rPr>
      </w:pPr>
      <w:r>
        <w:rPr>
          <w:rFonts w:hint="eastAsia" w:ascii="宋体" w:hAnsi="宋体" w:cs="宋体"/>
          <w:color w:val="000000"/>
          <w:szCs w:val="21"/>
          <w:highlight w:val="white"/>
        </w:rPr>
        <w:t>关于变更的范围的约定：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10.4 变更估价</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10.4.1 变更估价原则</w:t>
      </w:r>
    </w:p>
    <w:p>
      <w:pPr>
        <w:spacing w:line="360" w:lineRule="auto"/>
        <w:ind w:firstLine="420" w:firstLineChars="200"/>
        <w:jc w:val="left"/>
        <w:rPr>
          <w:rFonts w:hint="eastAsia" w:ascii="宋体" w:hAnsi="宋体" w:cs="宋体"/>
          <w:color w:val="000000"/>
          <w:szCs w:val="21"/>
          <w:u w:val="single"/>
        </w:rPr>
      </w:pPr>
      <w:r>
        <w:rPr>
          <w:rFonts w:hint="eastAsia" w:ascii="宋体" w:hAnsi="宋体" w:cs="宋体"/>
          <w:color w:val="000000"/>
          <w:szCs w:val="21"/>
          <w:highlight w:val="white"/>
        </w:rPr>
        <w:t>关于变更估价的约定:</w:t>
      </w:r>
    </w:p>
    <w:p>
      <w:pPr>
        <w:spacing w:line="360" w:lineRule="auto"/>
        <w:ind w:firstLine="420" w:firstLineChars="200"/>
        <w:rPr>
          <w:rFonts w:hint="eastAsia" w:ascii="宋体" w:hAnsi="宋体" w:cs="宋体"/>
          <w:color w:val="000000"/>
          <w:szCs w:val="21"/>
          <w:highlight w:val="white"/>
          <w:u w:val="single"/>
        </w:rPr>
      </w:pPr>
      <w:r>
        <w:rPr>
          <w:rFonts w:hint="eastAsia" w:ascii="宋体" w:hAnsi="宋体" w:cs="宋体"/>
          <w:color w:val="000000"/>
          <w:szCs w:val="21"/>
          <w:highlight w:val="white"/>
          <w:u w:val="single"/>
          <w:lang w:eastAsia="zh-CN"/>
        </w:rPr>
        <w:t>磋商</w:t>
      </w:r>
      <w:r>
        <w:rPr>
          <w:rFonts w:hint="eastAsia" w:ascii="宋体" w:hAnsi="宋体" w:cs="宋体"/>
          <w:color w:val="000000"/>
          <w:szCs w:val="21"/>
          <w:highlight w:val="white"/>
          <w:u w:val="single"/>
        </w:rPr>
        <w:t>文件约定结算时允许变更时，施工过程中有设计变更或根据实际情况需要变更的，以设计变更或</w:t>
      </w:r>
      <w:r>
        <w:rPr>
          <w:rFonts w:hint="eastAsia" w:ascii="宋体" w:hAnsi="宋体" w:cs="宋体"/>
          <w:color w:val="000000"/>
          <w:szCs w:val="21"/>
          <w:highlight w:val="white"/>
          <w:u w:val="single"/>
          <w:lang w:eastAsia="zh-CN"/>
        </w:rPr>
        <w:t>发包人</w:t>
      </w:r>
      <w:r>
        <w:rPr>
          <w:rFonts w:hint="eastAsia" w:ascii="宋体" w:hAnsi="宋体" w:cs="宋体"/>
          <w:color w:val="000000"/>
          <w:szCs w:val="21"/>
          <w:highlight w:val="white"/>
          <w:u w:val="single"/>
        </w:rPr>
        <w:t>、监理单位</w:t>
      </w:r>
      <w:r>
        <w:rPr>
          <w:rFonts w:hint="eastAsia" w:ascii="宋体" w:hAnsi="宋体" w:cs="宋体"/>
          <w:color w:val="000000"/>
          <w:szCs w:val="21"/>
          <w:highlight w:val="white"/>
          <w:u w:val="single"/>
          <w:lang w:eastAsia="zh-CN"/>
        </w:rPr>
        <w:t>（如有）</w:t>
      </w:r>
      <w:r>
        <w:rPr>
          <w:rFonts w:hint="eastAsia" w:ascii="宋体" w:hAnsi="宋体" w:cs="宋体"/>
          <w:color w:val="000000"/>
          <w:szCs w:val="21"/>
          <w:highlight w:val="white"/>
          <w:u w:val="single"/>
        </w:rPr>
        <w:t>确认的现场签证的内容为准（设计变更必须经设计单位、监理单位</w:t>
      </w:r>
      <w:r>
        <w:rPr>
          <w:rFonts w:hint="eastAsia" w:ascii="宋体" w:hAnsi="宋体" w:cs="宋体"/>
          <w:color w:val="000000"/>
          <w:szCs w:val="21"/>
          <w:highlight w:val="white"/>
          <w:u w:val="single"/>
          <w:lang w:eastAsia="zh-CN"/>
        </w:rPr>
        <w:t>（如有）</w:t>
      </w:r>
      <w:r>
        <w:rPr>
          <w:rFonts w:hint="eastAsia" w:ascii="宋体" w:hAnsi="宋体" w:cs="宋体"/>
          <w:color w:val="000000"/>
          <w:szCs w:val="21"/>
          <w:highlight w:val="white"/>
          <w:u w:val="single"/>
        </w:rPr>
        <w:t>、</w:t>
      </w:r>
      <w:r>
        <w:rPr>
          <w:rFonts w:hint="eastAsia" w:ascii="宋体" w:hAnsi="宋体" w:cs="宋体"/>
          <w:color w:val="000000"/>
          <w:szCs w:val="21"/>
          <w:highlight w:val="white"/>
          <w:u w:val="single"/>
          <w:lang w:eastAsia="zh-CN"/>
        </w:rPr>
        <w:t>发包人</w:t>
      </w:r>
      <w:r>
        <w:rPr>
          <w:rFonts w:hint="eastAsia" w:ascii="宋体" w:hAnsi="宋体" w:cs="宋体"/>
          <w:color w:val="000000"/>
          <w:szCs w:val="21"/>
          <w:highlight w:val="white"/>
          <w:u w:val="single"/>
        </w:rPr>
        <w:t>确认才有效），工程量的增加或减少时按以下原则处理：</w:t>
      </w:r>
    </w:p>
    <w:p>
      <w:pPr>
        <w:spacing w:line="360" w:lineRule="auto"/>
        <w:ind w:firstLine="420" w:firstLineChars="200"/>
        <w:rPr>
          <w:rFonts w:hint="eastAsia" w:ascii="宋体" w:hAnsi="宋体" w:cs="宋体"/>
          <w:color w:val="000000"/>
          <w:szCs w:val="21"/>
          <w:highlight w:val="white"/>
          <w:u w:val="single"/>
        </w:rPr>
      </w:pPr>
      <w:r>
        <w:rPr>
          <w:rFonts w:hint="eastAsia" w:ascii="宋体" w:hAnsi="宋体" w:cs="宋体"/>
          <w:color w:val="000000"/>
          <w:szCs w:val="21"/>
          <w:highlight w:val="white"/>
          <w:u w:val="single"/>
          <w:lang w:val="en-US" w:eastAsia="zh-CN"/>
        </w:rPr>
        <w:t>1、</w:t>
      </w:r>
      <w:r>
        <w:rPr>
          <w:rFonts w:hint="eastAsia" w:ascii="宋体" w:hAnsi="宋体" w:cs="宋体"/>
          <w:color w:val="000000"/>
          <w:szCs w:val="21"/>
          <w:highlight w:val="white"/>
          <w:u w:val="single"/>
        </w:rPr>
        <w:t>原报价中没有的工程项目和暂列金额的项目，按照实际发生的工程量，由</w:t>
      </w:r>
      <w:r>
        <w:rPr>
          <w:rFonts w:hint="eastAsia" w:ascii="宋体" w:hAnsi="宋体" w:cs="宋体"/>
          <w:color w:val="000000"/>
          <w:szCs w:val="21"/>
          <w:highlight w:val="white"/>
          <w:u w:val="single"/>
          <w:lang w:eastAsia="zh-CN"/>
        </w:rPr>
        <w:t>承包人</w:t>
      </w:r>
      <w:r>
        <w:rPr>
          <w:rFonts w:hint="eastAsia" w:ascii="宋体" w:hAnsi="宋体" w:cs="宋体"/>
          <w:color w:val="000000"/>
          <w:szCs w:val="21"/>
          <w:highlight w:val="white"/>
          <w:u w:val="single"/>
        </w:rPr>
        <w:t>参考广东省2013年相应的建设工程计价依据和施工期间相对应的建设主管部门发布的人工、材料、机械参考价和市场价确定清单单价，下浮率的计算公式为L＝(1－成交价格／项目预算金额)×100%，公式中的成交价格、项目预算金额均扣除安全文明施工费</w:t>
      </w:r>
      <w:r>
        <w:rPr>
          <w:rFonts w:hint="eastAsia" w:ascii="宋体" w:hAnsi="宋体" w:cs="宋体"/>
          <w:color w:val="000000"/>
          <w:szCs w:val="21"/>
          <w:highlight w:val="white"/>
          <w:u w:val="single"/>
          <w:lang w:eastAsia="zh-CN"/>
        </w:rPr>
        <w:t>、暂列金额</w:t>
      </w:r>
      <w:r>
        <w:rPr>
          <w:rFonts w:hint="eastAsia" w:ascii="宋体" w:hAnsi="宋体" w:cs="宋体"/>
          <w:color w:val="000000"/>
          <w:szCs w:val="21"/>
          <w:highlight w:val="white"/>
          <w:u w:val="single"/>
        </w:rPr>
        <w:t>和专业工程暂估价这部分的含规费、含税造价造价，由</w:t>
      </w:r>
      <w:r>
        <w:rPr>
          <w:rFonts w:hint="eastAsia" w:ascii="宋体" w:hAnsi="宋体" w:cs="宋体"/>
          <w:color w:val="000000"/>
          <w:szCs w:val="21"/>
          <w:highlight w:val="white"/>
          <w:u w:val="single"/>
          <w:lang w:eastAsia="zh-CN"/>
        </w:rPr>
        <w:t>发包人</w:t>
      </w:r>
      <w:r>
        <w:rPr>
          <w:rFonts w:hint="eastAsia" w:ascii="宋体" w:hAnsi="宋体" w:cs="宋体"/>
          <w:color w:val="000000"/>
          <w:szCs w:val="21"/>
          <w:highlight w:val="white"/>
          <w:u w:val="single"/>
        </w:rPr>
        <w:t>及监理工程师审核确认后方能生效；</w:t>
      </w:r>
    </w:p>
    <w:p>
      <w:pPr>
        <w:spacing w:line="360" w:lineRule="auto"/>
        <w:ind w:firstLine="420" w:firstLineChars="200"/>
        <w:rPr>
          <w:rFonts w:hint="eastAsia" w:ascii="宋体" w:hAnsi="宋体" w:cs="宋体"/>
          <w:color w:val="000000"/>
          <w:szCs w:val="21"/>
          <w:highlight w:val="white"/>
          <w:u w:val="single"/>
        </w:rPr>
      </w:pPr>
      <w:r>
        <w:rPr>
          <w:rFonts w:hint="eastAsia" w:ascii="宋体" w:hAnsi="宋体" w:cs="宋体"/>
          <w:color w:val="000000"/>
          <w:szCs w:val="21"/>
          <w:highlight w:val="white"/>
          <w:u w:val="single"/>
          <w:lang w:val="en-US" w:eastAsia="zh-CN"/>
        </w:rPr>
        <w:t>2、</w:t>
      </w:r>
      <w:r>
        <w:rPr>
          <w:rFonts w:hint="eastAsia" w:ascii="宋体" w:hAnsi="宋体" w:cs="宋体"/>
          <w:color w:val="000000"/>
          <w:szCs w:val="21"/>
          <w:highlight w:val="white"/>
          <w:u w:val="single"/>
        </w:rPr>
        <w:t>措施项目费和其他项目费及非实体工程费用一律不作调整，作费用包干处理；</w:t>
      </w:r>
    </w:p>
    <w:p>
      <w:pPr>
        <w:spacing w:line="360" w:lineRule="auto"/>
        <w:ind w:firstLine="420" w:firstLineChars="200"/>
        <w:rPr>
          <w:rFonts w:hint="eastAsia" w:ascii="宋体" w:hAnsi="宋体" w:cs="宋体"/>
          <w:color w:val="000000"/>
          <w:szCs w:val="21"/>
          <w:highlight w:val="white"/>
        </w:rPr>
      </w:pPr>
      <w:r>
        <w:rPr>
          <w:rFonts w:hint="eastAsia" w:ascii="宋体" w:hAnsi="宋体" w:cs="宋体"/>
          <w:color w:val="000000"/>
          <w:szCs w:val="21"/>
          <w:highlight w:val="white"/>
          <w:u w:val="single"/>
          <w:lang w:val="en-US" w:eastAsia="zh-CN"/>
        </w:rPr>
        <w:t>3、</w:t>
      </w:r>
      <w:r>
        <w:rPr>
          <w:rFonts w:hint="eastAsia" w:ascii="宋体" w:hAnsi="宋体" w:cs="宋体"/>
          <w:color w:val="000000"/>
          <w:szCs w:val="21"/>
          <w:highlight w:val="white"/>
          <w:u w:val="single"/>
        </w:rPr>
        <w:t xml:space="preserve">变更的工程最终结算价以 </w:t>
      </w:r>
      <w:r>
        <w:rPr>
          <w:rFonts w:hint="eastAsia" w:ascii="宋体" w:hAnsi="宋体" w:cs="宋体"/>
          <w:color w:val="000000"/>
          <w:szCs w:val="21"/>
          <w:highlight w:val="white"/>
          <w:u w:val="single"/>
          <w:lang w:eastAsia="zh-CN"/>
        </w:rPr>
        <w:t>发包人</w:t>
      </w:r>
      <w:r>
        <w:rPr>
          <w:rFonts w:hint="eastAsia" w:ascii="宋体" w:hAnsi="宋体" w:cs="宋体"/>
          <w:color w:val="000000"/>
          <w:szCs w:val="21"/>
          <w:highlight w:val="white"/>
          <w:u w:val="single"/>
        </w:rPr>
        <w:t>委托的第三方造价机构  审定的结果为准。</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highlight w:val="white"/>
        </w:rPr>
        <w:t>1</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Start w:id="950" w:name="_Toc296944536"/>
      <w:bookmarkStart w:id="951" w:name="_Toc300934993"/>
      <w:bookmarkStart w:id="952" w:name="_Toc296346698"/>
      <w:bookmarkStart w:id="953" w:name="_Toc292559402"/>
      <w:bookmarkStart w:id="954" w:name="_Toc297123544"/>
      <w:bookmarkStart w:id="955" w:name="_Toc297120497"/>
      <w:bookmarkStart w:id="956" w:name="_Toc292559907"/>
      <w:bookmarkStart w:id="957" w:name="_Toc297048383"/>
      <w:bookmarkStart w:id="958" w:name="_Toc303539150"/>
      <w:bookmarkStart w:id="959" w:name="_Toc296891025"/>
      <w:bookmarkStart w:id="960" w:name="_Toc296891237"/>
      <w:bookmarkStart w:id="961" w:name="_Toc296347196"/>
      <w:bookmarkStart w:id="962" w:name="_Toc296503197"/>
      <w:bookmarkStart w:id="963" w:name="_Toc297216203"/>
      <w:bookmarkStart w:id="964" w:name="_Toc312677503"/>
      <w:bookmarkStart w:id="965" w:name="_Toc304295570"/>
      <w:bookmarkStart w:id="966" w:name="_Toc312678029"/>
      <w:r>
        <w:rPr>
          <w:rFonts w:hint="eastAsia" w:ascii="宋体" w:hAnsi="宋体" w:cs="宋体"/>
          <w:color w:val="000000"/>
          <w:szCs w:val="21"/>
          <w:highlight w:val="white"/>
        </w:rPr>
        <w:t>0.5承</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Start w:id="967" w:name="_Toc292559408"/>
      <w:bookmarkStart w:id="968" w:name="_Toc292559913"/>
      <w:bookmarkStart w:id="969" w:name="_Toc303539151"/>
      <w:bookmarkStart w:id="970" w:name="_Toc297123545"/>
      <w:bookmarkStart w:id="971" w:name="_Toc296347202"/>
      <w:bookmarkStart w:id="972" w:name="_Toc296346704"/>
      <w:bookmarkStart w:id="973" w:name="_Toc297216204"/>
      <w:bookmarkStart w:id="974" w:name="_Toc296944542"/>
      <w:bookmarkStart w:id="975" w:name="_Toc300934994"/>
      <w:bookmarkStart w:id="976" w:name="_Toc296891031"/>
      <w:bookmarkStart w:id="977" w:name="_Toc296891243"/>
      <w:bookmarkStart w:id="978" w:name="_Toc297048389"/>
      <w:bookmarkStart w:id="979" w:name="_Toc296503203"/>
      <w:bookmarkStart w:id="980" w:name="_Toc297120503"/>
      <w:r>
        <w:rPr>
          <w:rFonts w:hint="eastAsia" w:ascii="宋体" w:hAnsi="宋体" w:cs="宋体"/>
          <w:color w:val="000000"/>
          <w:szCs w:val="21"/>
          <w:highlight w:val="white"/>
        </w:rPr>
        <w:t>包人的合理化建议</w:t>
      </w:r>
    </w:p>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监理人审查承包人合理化建议的期限：</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发包人审批承包人合理化建议的期限：</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szCs w:val="21"/>
          <w:u w:val="single"/>
        </w:rPr>
      </w:pPr>
      <w:r>
        <w:rPr>
          <w:rFonts w:hint="eastAsia" w:ascii="宋体" w:hAnsi="宋体" w:cs="宋体"/>
          <w:color w:val="000000"/>
          <w:szCs w:val="21"/>
          <w:highlight w:val="white"/>
        </w:rPr>
        <w:t>承</w:t>
      </w:r>
      <w:bookmarkStart w:id="981" w:name="_Toc297123546"/>
      <w:bookmarkStart w:id="982" w:name="_Toc292559409"/>
      <w:bookmarkStart w:id="983" w:name="_Toc304295571"/>
      <w:bookmarkStart w:id="984" w:name="_Toc296891244"/>
      <w:bookmarkStart w:id="985" w:name="_Toc296346705"/>
      <w:bookmarkStart w:id="986" w:name="_Toc297120504"/>
      <w:bookmarkStart w:id="987" w:name="_Toc318581175"/>
      <w:bookmarkStart w:id="988" w:name="_Toc297216205"/>
      <w:bookmarkStart w:id="989" w:name="_Toc292559914"/>
      <w:bookmarkStart w:id="990" w:name="_Toc296503204"/>
      <w:bookmarkStart w:id="991" w:name="_Toc297048390"/>
      <w:bookmarkStart w:id="992" w:name="_Toc312678030"/>
      <w:bookmarkStart w:id="993" w:name="_Toc296944543"/>
      <w:bookmarkStart w:id="994" w:name="_Toc296891032"/>
      <w:bookmarkStart w:id="995" w:name="_Toc300934995"/>
      <w:bookmarkStart w:id="996" w:name="_Toc312677504"/>
      <w:bookmarkStart w:id="997" w:name="_Toc296347203"/>
      <w:bookmarkStart w:id="998" w:name="_Toc303539152"/>
      <w:r>
        <w:rPr>
          <w:rFonts w:hint="eastAsia" w:ascii="宋体" w:hAnsi="宋体" w:cs="宋体"/>
          <w:color w:val="000000"/>
          <w:szCs w:val="21"/>
          <w:highlight w:val="white"/>
        </w:rPr>
        <w:t>包人提出的合理化建议降低了合同价格或者提高了工程经济效益的奖励的方法和金额为：</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1</w:t>
      </w:r>
      <w:bookmarkStart w:id="999" w:name="_Toc297120499"/>
      <w:bookmarkStart w:id="1000" w:name="_Toc297048385"/>
      <w:bookmarkStart w:id="1001" w:name="_Toc297123548"/>
      <w:bookmarkStart w:id="1002" w:name="_Toc296503199"/>
      <w:bookmarkStart w:id="1003" w:name="_Toc296891239"/>
      <w:bookmarkStart w:id="1004" w:name="_Toc296347198"/>
      <w:bookmarkStart w:id="1005" w:name="_Toc296944538"/>
      <w:bookmarkStart w:id="1006" w:name="_Toc300934997"/>
      <w:bookmarkStart w:id="1007" w:name="_Toc296891027"/>
      <w:bookmarkStart w:id="1008" w:name="_Toc312678033"/>
      <w:bookmarkStart w:id="1009" w:name="_Toc292559909"/>
      <w:bookmarkStart w:id="1010" w:name="_Toc297216207"/>
      <w:bookmarkStart w:id="1011" w:name="_Toc312677507"/>
      <w:bookmarkStart w:id="1012" w:name="_Toc304295574"/>
      <w:bookmarkStart w:id="1013" w:name="_Toc296346700"/>
      <w:bookmarkStart w:id="1014" w:name="_Toc292559404"/>
      <w:bookmarkStart w:id="1015" w:name="_Toc303539154"/>
      <w:r>
        <w:rPr>
          <w:rFonts w:hint="eastAsia" w:ascii="宋体" w:hAnsi="宋体" w:cs="宋体"/>
          <w:color w:val="000000"/>
          <w:szCs w:val="21"/>
          <w:highlight w:val="white"/>
        </w:rPr>
        <w:t>0.7 暂估价</w:t>
      </w:r>
    </w:p>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Pr>
        <w:spacing w:line="360" w:lineRule="auto"/>
        <w:ind w:firstLine="420" w:firstLineChars="200"/>
        <w:jc w:val="left"/>
        <w:rPr>
          <w:rFonts w:hint="eastAsia" w:ascii="宋体" w:hAnsi="宋体" w:cs="宋体"/>
          <w:szCs w:val="21"/>
        </w:rPr>
      </w:pPr>
      <w:r>
        <w:rPr>
          <w:rFonts w:hint="eastAsia" w:ascii="宋体" w:hAnsi="宋体" w:cs="宋体"/>
          <w:color w:val="000000"/>
          <w:kern w:val="0"/>
          <w:szCs w:val="21"/>
          <w:highlight w:val="white"/>
        </w:rPr>
        <w:t>暂</w:t>
      </w:r>
      <w:bookmarkStart w:id="1016" w:name="_Toc318581176"/>
      <w:bookmarkStart w:id="1017" w:name="_Toc312677508"/>
      <w:bookmarkStart w:id="1018" w:name="_Toc312678034"/>
      <w:r>
        <w:rPr>
          <w:rFonts w:hint="eastAsia" w:ascii="宋体" w:hAnsi="宋体" w:cs="宋体"/>
          <w:color w:val="000000"/>
          <w:kern w:val="0"/>
          <w:szCs w:val="21"/>
          <w:highlight w:val="white"/>
        </w:rPr>
        <w:t>估价材料和工程设备的明细详见附件：《</w:t>
      </w:r>
      <w:r>
        <w:rPr>
          <w:rFonts w:hint="eastAsia" w:ascii="宋体" w:hAnsi="宋体" w:cs="宋体"/>
          <w:color w:val="000000"/>
          <w:szCs w:val="21"/>
          <w:highlight w:val="white"/>
        </w:rPr>
        <w:t>暂估价一览表》</w:t>
      </w:r>
      <w:r>
        <w:rPr>
          <w:rFonts w:hint="eastAsia" w:ascii="宋体" w:hAnsi="宋体" w:cs="宋体"/>
          <w:color w:val="000000"/>
          <w:kern w:val="0"/>
          <w:szCs w:val="21"/>
          <w:highlight w:val="white"/>
        </w:rPr>
        <w:t>。</w:t>
      </w:r>
    </w:p>
    <w:bookmarkEnd w:id="1016"/>
    <w:bookmarkEnd w:id="1017"/>
    <w:bookmarkEnd w:id="1018"/>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1</w:t>
      </w:r>
      <w:bookmarkStart w:id="1019" w:name="_Toc318581177"/>
      <w:bookmarkStart w:id="1020" w:name="_Toc312678035"/>
      <w:bookmarkStart w:id="1021" w:name="_Toc312677509"/>
      <w:r>
        <w:rPr>
          <w:rFonts w:hint="eastAsia" w:ascii="宋体" w:hAnsi="宋体" w:cs="宋体"/>
          <w:color w:val="000000"/>
          <w:szCs w:val="21"/>
          <w:highlight w:val="white"/>
        </w:rPr>
        <w:t>0.7.1 依法必须招标的暂估价项目</w:t>
      </w:r>
    </w:p>
    <w:bookmarkEnd w:id="1019"/>
    <w:bookmarkEnd w:id="1020"/>
    <w:bookmarkEnd w:id="1021"/>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对于依法必须招标的暂估价项目的确认和批准采取第</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种方式确定。</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10.7.2 不属于依法必须招标的暂估价项目</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对于不属于依法必须招标的暂估价项目的确认和批准采取第</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 xml:space="preserve"> 种方式确定。</w:t>
      </w:r>
    </w:p>
    <w:p>
      <w:pPr>
        <w:spacing w:line="360" w:lineRule="auto"/>
        <w:ind w:firstLine="420" w:firstLineChars="200"/>
        <w:jc w:val="left"/>
        <w:rPr>
          <w:rFonts w:hint="eastAsia" w:ascii="宋体" w:hAnsi="宋体" w:cs="宋体"/>
          <w:kern w:val="0"/>
          <w:szCs w:val="21"/>
        </w:rPr>
      </w:pPr>
      <w:r>
        <w:rPr>
          <w:rFonts w:hint="eastAsia" w:ascii="宋体" w:hAnsi="宋体" w:cs="宋体"/>
          <w:color w:val="000000"/>
          <w:szCs w:val="21"/>
          <w:highlight w:val="white"/>
        </w:rPr>
        <w:t>第3种方式：</w:t>
      </w:r>
      <w:r>
        <w:rPr>
          <w:rFonts w:hint="eastAsia" w:ascii="宋体" w:hAnsi="宋体" w:cs="宋体"/>
          <w:color w:val="000000"/>
          <w:kern w:val="0"/>
          <w:szCs w:val="21"/>
          <w:highlight w:val="white"/>
        </w:rPr>
        <w:t>承包人直接实施的暂估价项目</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承包人直接实施的暂估价项目的约定：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10.8 暂列金额</w:t>
      </w:r>
    </w:p>
    <w:p>
      <w:pPr>
        <w:autoSpaceDE w:val="0"/>
        <w:autoSpaceDN w:val="0"/>
        <w:adjustRightInd w:val="0"/>
        <w:spacing w:line="360" w:lineRule="auto"/>
        <w:ind w:firstLine="420" w:firstLineChars="200"/>
        <w:jc w:val="left"/>
        <w:rPr>
          <w:rFonts w:hint="eastAsia" w:ascii="宋体" w:hAnsi="宋体" w:cs="宋体"/>
          <w:kern w:val="0"/>
          <w:szCs w:val="21"/>
        </w:rPr>
      </w:pPr>
      <w:r>
        <w:rPr>
          <w:rFonts w:hint="eastAsia" w:ascii="宋体" w:hAnsi="宋体" w:cs="宋体"/>
          <w:color w:val="000000"/>
          <w:kern w:val="0"/>
          <w:szCs w:val="21"/>
          <w:highlight w:val="white"/>
        </w:rPr>
        <w:t>合同当事人关于暂列金额使用的约定：</w:t>
      </w:r>
      <w:r>
        <w:rPr>
          <w:rFonts w:hint="eastAsia" w:ascii="宋体" w:hAnsi="宋体" w:cs="宋体"/>
          <w:color w:val="000000"/>
          <w:szCs w:val="21"/>
          <w:highlight w:val="white"/>
          <w:u w:val="single"/>
        </w:rPr>
        <w:t xml:space="preserve">                   </w:t>
      </w:r>
      <w:r>
        <w:rPr>
          <w:rFonts w:hint="eastAsia" w:ascii="宋体" w:hAnsi="宋体" w:cs="宋体"/>
          <w:color w:val="000000"/>
          <w:kern w:val="0"/>
          <w:szCs w:val="21"/>
          <w:highlight w:val="white"/>
        </w:rPr>
        <w:t>。</w:t>
      </w:r>
    </w:p>
    <w:p>
      <w:pPr>
        <w:spacing w:line="360" w:lineRule="auto"/>
        <w:rPr>
          <w:rFonts w:hint="eastAsia" w:ascii="宋体" w:hAnsi="宋体" w:cs="宋体"/>
          <w:b/>
          <w:color w:val="000000"/>
          <w:szCs w:val="21"/>
        </w:rPr>
      </w:pPr>
      <w:bookmarkStart w:id="1022" w:name="_Toc389146890"/>
      <w:bookmarkStart w:id="1023" w:name="_Toc389066723"/>
      <w:bookmarkStart w:id="1024" w:name="_Toc393093291"/>
      <w:bookmarkStart w:id="1025" w:name="_Toc394329420"/>
      <w:bookmarkStart w:id="1026" w:name="_Toc392078597"/>
      <w:bookmarkStart w:id="1027" w:name="_Toc351203643"/>
      <w:r>
        <w:rPr>
          <w:rFonts w:hint="eastAsia" w:ascii="宋体" w:hAnsi="宋体" w:cs="宋体"/>
          <w:b/>
          <w:color w:val="000000"/>
          <w:szCs w:val="21"/>
          <w:highlight w:val="white"/>
        </w:rPr>
        <w:t>11. 价格调整</w:t>
      </w:r>
      <w:bookmarkEnd w:id="1022"/>
      <w:bookmarkEnd w:id="1023"/>
      <w:bookmarkEnd w:id="1024"/>
      <w:bookmarkEnd w:id="1025"/>
      <w:bookmarkEnd w:id="1026"/>
      <w:bookmarkEnd w:id="1027"/>
    </w:p>
    <w:p>
      <w:pPr>
        <w:spacing w:line="360" w:lineRule="auto"/>
        <w:ind w:firstLine="420" w:firstLineChars="200"/>
        <w:rPr>
          <w:rFonts w:hint="eastAsia" w:ascii="宋体" w:hAnsi="宋体" w:cs="宋体"/>
          <w:szCs w:val="21"/>
        </w:rPr>
      </w:pPr>
      <w:bookmarkStart w:id="1028" w:name="_Toc296891029"/>
      <w:bookmarkStart w:id="1029" w:name="_Toc297048387"/>
      <w:bookmarkStart w:id="1030" w:name="_Toc304295577"/>
      <w:bookmarkStart w:id="1031" w:name="_Toc297123550"/>
      <w:bookmarkStart w:id="1032" w:name="_Toc312678039"/>
      <w:bookmarkStart w:id="1033" w:name="_Toc292559406"/>
      <w:bookmarkStart w:id="1034" w:name="_Toc300935000"/>
      <w:bookmarkStart w:id="1035" w:name="_Toc296891241"/>
      <w:bookmarkStart w:id="1036" w:name="_Toc296347200"/>
      <w:bookmarkStart w:id="1037" w:name="_Toc296346702"/>
      <w:bookmarkStart w:id="1038" w:name="_Toc292559911"/>
      <w:bookmarkStart w:id="1039" w:name="_Toc296503201"/>
      <w:bookmarkStart w:id="1040" w:name="_Toc303539157"/>
      <w:bookmarkStart w:id="1041" w:name="_Toc297120501"/>
      <w:bookmarkStart w:id="1042" w:name="_Toc296944540"/>
      <w:bookmarkStart w:id="1043" w:name="_Toc297216209"/>
      <w:r>
        <w:rPr>
          <w:rFonts w:hint="eastAsia" w:ascii="宋体" w:hAnsi="宋体" w:cs="宋体"/>
          <w:color w:val="000000"/>
          <w:szCs w:val="21"/>
          <w:highlight w:val="white"/>
        </w:rPr>
        <w:t>11.1 市场价格波动引起的调整</w:t>
      </w:r>
    </w:p>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Pr>
        <w:spacing w:line="360" w:lineRule="auto"/>
        <w:ind w:firstLine="420" w:firstLineChars="200"/>
        <w:jc w:val="left"/>
        <w:rPr>
          <w:rFonts w:hint="eastAsia" w:ascii="宋体" w:hAnsi="宋体" w:cs="宋体"/>
          <w:szCs w:val="21"/>
        </w:rPr>
      </w:pPr>
      <w:r>
        <w:rPr>
          <w:rFonts w:hint="eastAsia" w:ascii="宋体" w:hAnsi="宋体" w:cs="宋体"/>
          <w:color w:val="000000"/>
          <w:kern w:val="0"/>
          <w:szCs w:val="21"/>
          <w:highlight w:val="white"/>
        </w:rPr>
        <w:t>市场价格波动是否调整合同价格的约定：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不调整</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因市场价格波动调整合同价格，采用以下第</w:t>
      </w:r>
      <w:r>
        <w:rPr>
          <w:rFonts w:hint="eastAsia" w:ascii="宋体" w:hAnsi="宋体" w:cs="宋体"/>
          <w:color w:val="000000"/>
          <w:szCs w:val="21"/>
          <w:highlight w:val="white"/>
          <w:u w:val="single"/>
        </w:rPr>
        <w:t xml:space="preserve"> 3 </w:t>
      </w:r>
      <w:r>
        <w:rPr>
          <w:rFonts w:hint="eastAsia" w:ascii="宋体" w:hAnsi="宋体" w:cs="宋体"/>
          <w:color w:val="000000"/>
          <w:szCs w:val="21"/>
          <w:highlight w:val="white"/>
        </w:rPr>
        <w:t>种方式对合同价格进行调整：</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第1种方式：采用价格指数进行价格调整。</w:t>
      </w:r>
    </w:p>
    <w:p>
      <w:pPr>
        <w:spacing w:line="360" w:lineRule="auto"/>
        <w:ind w:firstLine="420" w:firstLineChars="200"/>
        <w:jc w:val="left"/>
        <w:rPr>
          <w:rFonts w:hint="eastAsia" w:ascii="宋体" w:hAnsi="宋体" w:cs="宋体"/>
          <w:szCs w:val="21"/>
          <w:u w:val="single"/>
        </w:rPr>
      </w:pPr>
      <w:r>
        <w:rPr>
          <w:rFonts w:hint="eastAsia" w:ascii="宋体" w:hAnsi="宋体" w:cs="宋体"/>
          <w:color w:val="000000"/>
          <w:szCs w:val="21"/>
          <w:highlight w:val="white"/>
        </w:rPr>
        <w:t>关于各可调因子、定值和变值权重，以及基本价格指数及其来源的约定：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 xml:space="preserve">；  </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第2种方式：采用造价信息进行价格调整。</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（2）关于基准价格的约定：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专用合同条款①承包人在已标价工程量清单或预算书中载明的材料单价低于基准价格的：专用合同条款合同履行期间材料单价涨幅以基准价格为基础超过</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%时，或材料单价跌幅以已标价工程量清单或预算书中载明材料单价为基础超过</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%时，其超过部分据实调整。</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②承包人在已标价工程量清单或预算书中载明的材料单价高于基准价格的：专用合同条款合同履行期间材料单价跌幅以基准价格为基础超过</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%时，材料单价涨幅以已标价工程量清单或预算书中载明材料单价为基础超过</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%时，其超过部分据实调整。</w:t>
      </w:r>
    </w:p>
    <w:p>
      <w:pPr>
        <w:spacing w:line="360" w:lineRule="auto"/>
        <w:ind w:firstLine="645"/>
        <w:jc w:val="left"/>
        <w:rPr>
          <w:rFonts w:hint="eastAsia" w:ascii="宋体" w:hAnsi="宋体" w:cs="宋体"/>
          <w:color w:val="000000"/>
          <w:szCs w:val="21"/>
        </w:rPr>
      </w:pPr>
      <w:r>
        <w:rPr>
          <w:rFonts w:hint="eastAsia" w:ascii="宋体" w:hAnsi="宋体" w:cs="宋体"/>
          <w:color w:val="000000"/>
          <w:szCs w:val="21"/>
          <w:highlight w:val="white"/>
        </w:rPr>
        <w:t>③承包人在已标价工程量清单或预算书中载明的材料单价等于基准单价的：专用合同条款合同履行期间材料单价涨跌幅以基准单价为基础超过±</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%时，其超过部分据实调整。</w:t>
      </w:r>
    </w:p>
    <w:p>
      <w:pPr>
        <w:spacing w:line="360" w:lineRule="auto"/>
        <w:ind w:firstLine="525" w:firstLineChars="250"/>
        <w:rPr>
          <w:rFonts w:hint="eastAsia" w:ascii="宋体" w:hAnsi="宋体" w:cs="宋体"/>
          <w:bCs/>
          <w:szCs w:val="21"/>
        </w:rPr>
      </w:pPr>
      <w:r>
        <w:rPr>
          <w:rFonts w:hint="eastAsia" w:ascii="宋体" w:hAnsi="宋体" w:cs="宋体"/>
          <w:color w:val="000000"/>
          <w:szCs w:val="21"/>
          <w:highlight w:val="white"/>
        </w:rPr>
        <w:t>第3种方式：其他价格调整方式：</w:t>
      </w:r>
      <w:r>
        <w:rPr>
          <w:rFonts w:hint="eastAsia" w:ascii="宋体" w:hAnsi="宋体" w:cs="宋体"/>
          <w:bCs/>
          <w:color w:val="000000"/>
          <w:szCs w:val="21"/>
          <w:highlight w:val="white"/>
        </w:rPr>
        <w:t>若在施工过程中由于采购人的设计变更而导致工程量的增加或减少时按以下原则处理：</w:t>
      </w:r>
    </w:p>
    <w:p>
      <w:pPr>
        <w:numPr>
          <w:ilvl w:val="0"/>
          <w:numId w:val="18"/>
        </w:numPr>
        <w:spacing w:line="360" w:lineRule="auto"/>
        <w:rPr>
          <w:rFonts w:hint="eastAsia" w:ascii="宋体" w:hAnsi="宋体" w:cs="宋体"/>
          <w:bCs/>
          <w:szCs w:val="21"/>
        </w:rPr>
      </w:pPr>
      <w:r>
        <w:rPr>
          <w:rFonts w:hint="eastAsia" w:ascii="宋体" w:hAnsi="宋体" w:cs="宋体"/>
          <w:bCs/>
          <w:color w:val="000000"/>
          <w:szCs w:val="21"/>
          <w:highlight w:val="white"/>
        </w:rPr>
        <w:t>原报价中没有的工程项目，按照实际发生的工程量，由承包人参考广东省2013年相应的建设工程计价依据和施工期间相对应的建设主管部门发布的人工、材料、机械参考价和市场价确定清单单价，并按成交下浮率L下浮后作结算依据，由采购人及监理工程师审核确认后方能生效。下浮率的计算公式为L＝(1－成交价格／项目预算金额)×100%，公式中的成交价格、项目预算金额均扣除安全文明施工费、暂列金额和专业工程暂估价这三部分的含规费、含税造价造价</w:t>
      </w:r>
    </w:p>
    <w:p>
      <w:pPr>
        <w:numPr>
          <w:ilvl w:val="0"/>
          <w:numId w:val="18"/>
        </w:numPr>
        <w:spacing w:line="360" w:lineRule="auto"/>
        <w:rPr>
          <w:rFonts w:hint="eastAsia" w:ascii="宋体" w:hAnsi="宋体" w:cs="宋体"/>
          <w:bCs/>
          <w:szCs w:val="21"/>
        </w:rPr>
      </w:pPr>
      <w:r>
        <w:rPr>
          <w:rFonts w:hint="eastAsia" w:ascii="宋体" w:hAnsi="宋体" w:cs="宋体"/>
          <w:bCs/>
          <w:color w:val="000000"/>
          <w:szCs w:val="21"/>
          <w:highlight w:val="white"/>
        </w:rPr>
        <w:t>措施项目费和其他项目费及非实体工程费用一律不作调整，作费用包干处理；</w:t>
      </w:r>
    </w:p>
    <w:p>
      <w:pPr>
        <w:numPr>
          <w:ilvl w:val="0"/>
          <w:numId w:val="18"/>
        </w:numPr>
        <w:spacing w:line="360" w:lineRule="auto"/>
        <w:rPr>
          <w:rFonts w:hint="eastAsia" w:ascii="宋体" w:hAnsi="宋体" w:cs="宋体"/>
          <w:bCs/>
          <w:szCs w:val="21"/>
        </w:rPr>
      </w:pPr>
      <w:r>
        <w:rPr>
          <w:rFonts w:hint="eastAsia" w:ascii="宋体" w:hAnsi="宋体" w:cs="宋体"/>
          <w:bCs/>
          <w:color w:val="000000"/>
          <w:szCs w:val="21"/>
          <w:highlight w:val="white"/>
        </w:rPr>
        <w:t>变更的工程价款最终以工程结算时</w:t>
      </w:r>
      <w:r>
        <w:rPr>
          <w:rFonts w:hint="eastAsia" w:ascii="宋体" w:hAnsi="宋体" w:cs="宋体"/>
          <w:bCs/>
          <w:color w:val="000000"/>
          <w:szCs w:val="21"/>
          <w:highlight w:val="white"/>
          <w:u w:val="single"/>
        </w:rPr>
        <w:t xml:space="preserve">                  </w:t>
      </w:r>
      <w:r>
        <w:rPr>
          <w:rFonts w:hint="eastAsia" w:ascii="宋体" w:hAnsi="宋体" w:cs="宋体"/>
          <w:bCs/>
          <w:color w:val="000000"/>
          <w:szCs w:val="21"/>
          <w:highlight w:val="white"/>
        </w:rPr>
        <w:t>（财政部门/发包人委托的第三方造价机构）审定的结果为准。</w:t>
      </w:r>
    </w:p>
    <w:p>
      <w:pPr>
        <w:spacing w:line="360" w:lineRule="auto"/>
        <w:jc w:val="left"/>
        <w:rPr>
          <w:rFonts w:hint="eastAsia" w:ascii="宋体" w:hAnsi="宋体" w:cs="宋体"/>
          <w:color w:val="000000"/>
          <w:szCs w:val="21"/>
        </w:rPr>
      </w:pPr>
    </w:p>
    <w:bookmarkEnd w:id="926"/>
    <w:bookmarkEnd w:id="927"/>
    <w:bookmarkEnd w:id="928"/>
    <w:bookmarkEnd w:id="929"/>
    <w:bookmarkEnd w:id="930"/>
    <w:bookmarkEnd w:id="931"/>
    <w:p>
      <w:pPr>
        <w:spacing w:line="360" w:lineRule="auto"/>
        <w:rPr>
          <w:rFonts w:hint="eastAsia" w:ascii="宋体" w:hAnsi="宋体" w:cs="宋体"/>
          <w:b/>
          <w:color w:val="000000"/>
          <w:szCs w:val="21"/>
        </w:rPr>
      </w:pPr>
      <w:bookmarkStart w:id="1044" w:name="_Toc296891245"/>
      <w:bookmarkStart w:id="1045" w:name="_Toc292559915"/>
      <w:bookmarkStart w:id="1046" w:name="_Toc296944544"/>
      <w:bookmarkStart w:id="1047" w:name="_Toc296346706"/>
      <w:bookmarkStart w:id="1048" w:name="_Toc296347204"/>
      <w:bookmarkStart w:id="1049" w:name="_Toc296503205"/>
      <w:bookmarkStart w:id="1050" w:name="_Toc297120505"/>
      <w:bookmarkStart w:id="1051" w:name="_Toc292559410"/>
      <w:bookmarkStart w:id="1052" w:name="_Toc297048391"/>
      <w:bookmarkStart w:id="1053" w:name="_Toc296891033"/>
      <w:bookmarkStart w:id="1054" w:name="_Toc389066724"/>
      <w:bookmarkStart w:id="1055" w:name="_Toc389146891"/>
      <w:bookmarkStart w:id="1056" w:name="_Toc351203644"/>
      <w:bookmarkStart w:id="1057" w:name="_Toc393093292"/>
      <w:bookmarkStart w:id="1058" w:name="_Toc392078598"/>
      <w:bookmarkStart w:id="1059" w:name="_Toc394329421"/>
      <w:bookmarkStart w:id="1060" w:name="_Toc300935002"/>
      <w:bookmarkStart w:id="1061" w:name="_Toc304295579"/>
      <w:bookmarkStart w:id="1062" w:name="_Toc303539159"/>
      <w:bookmarkStart w:id="1063" w:name="_Toc312678040"/>
      <w:bookmarkStart w:id="1064" w:name="_Toc297216211"/>
      <w:bookmarkStart w:id="1065" w:name="_Toc297123552"/>
      <w:r>
        <w:rPr>
          <w:rFonts w:hint="eastAsia" w:ascii="宋体" w:hAnsi="宋体" w:cs="宋体"/>
          <w:b/>
          <w:color w:val="000000"/>
          <w:szCs w:val="21"/>
          <w:highlight w:val="white"/>
        </w:rPr>
        <w:t xml:space="preserve">12. </w:t>
      </w:r>
      <w:bookmarkEnd w:id="1044"/>
      <w:bookmarkEnd w:id="1045"/>
      <w:bookmarkEnd w:id="1046"/>
      <w:bookmarkEnd w:id="1047"/>
      <w:bookmarkEnd w:id="1048"/>
      <w:bookmarkEnd w:id="1049"/>
      <w:bookmarkEnd w:id="1050"/>
      <w:bookmarkEnd w:id="1051"/>
      <w:bookmarkEnd w:id="1052"/>
      <w:bookmarkEnd w:id="1053"/>
      <w:r>
        <w:rPr>
          <w:rFonts w:hint="eastAsia" w:ascii="宋体" w:hAnsi="宋体" w:cs="宋体"/>
          <w:b/>
          <w:color w:val="000000"/>
          <w:szCs w:val="21"/>
          <w:highlight w:val="white"/>
        </w:rPr>
        <w:t>合同价格、计量与支付</w:t>
      </w:r>
      <w:bookmarkEnd w:id="1054"/>
      <w:bookmarkEnd w:id="1055"/>
      <w:bookmarkEnd w:id="1056"/>
      <w:bookmarkEnd w:id="1057"/>
      <w:bookmarkEnd w:id="1058"/>
      <w:bookmarkEnd w:id="1059"/>
    </w:p>
    <w:bookmarkEnd w:id="1060"/>
    <w:bookmarkEnd w:id="1061"/>
    <w:bookmarkEnd w:id="1062"/>
    <w:bookmarkEnd w:id="1063"/>
    <w:bookmarkEnd w:id="1064"/>
    <w:bookmarkEnd w:id="1065"/>
    <w:p>
      <w:pPr>
        <w:spacing w:line="360" w:lineRule="auto"/>
        <w:ind w:firstLine="420" w:firstLineChars="200"/>
        <w:rPr>
          <w:rFonts w:hint="eastAsia" w:ascii="宋体" w:hAnsi="宋体" w:cs="宋体"/>
          <w:color w:val="000000"/>
          <w:szCs w:val="21"/>
        </w:rPr>
      </w:pPr>
      <w:bookmarkStart w:id="1066" w:name="_Toc267251461"/>
      <w:bookmarkStart w:id="1067" w:name="_Toc292559916"/>
      <w:bookmarkStart w:id="1068" w:name="_Toc292559411"/>
      <w:bookmarkStart w:id="1069" w:name="_Toc297120506"/>
      <w:bookmarkStart w:id="1070" w:name="_Toc297048392"/>
      <w:bookmarkStart w:id="1071" w:name="_Toc296346707"/>
      <w:bookmarkStart w:id="1072" w:name="_Toc296944545"/>
      <w:bookmarkStart w:id="1073" w:name="_Toc296891034"/>
      <w:bookmarkStart w:id="1074" w:name="_Toc296503206"/>
      <w:bookmarkStart w:id="1075" w:name="_Toc296891246"/>
      <w:bookmarkStart w:id="1076" w:name="_Toc296347205"/>
      <w:bookmarkStart w:id="1077" w:name="_Toc297123553"/>
      <w:bookmarkStart w:id="1078" w:name="_Toc297216212"/>
      <w:bookmarkStart w:id="1079" w:name="_Toc304295580"/>
      <w:bookmarkStart w:id="1080" w:name="_Toc300935003"/>
      <w:bookmarkStart w:id="1081" w:name="_Toc303539160"/>
      <w:bookmarkStart w:id="1082" w:name="_Toc312678041"/>
      <w:r>
        <w:rPr>
          <w:rFonts w:hint="eastAsia" w:ascii="宋体" w:hAnsi="宋体" w:cs="宋体"/>
          <w:color w:val="000000"/>
          <w:szCs w:val="21"/>
          <w:highlight w:val="white"/>
        </w:rPr>
        <w:t>12.1 合</w:t>
      </w:r>
      <w:bookmarkEnd w:id="1066"/>
      <w:bookmarkEnd w:id="1067"/>
      <w:bookmarkEnd w:id="1068"/>
      <w:r>
        <w:rPr>
          <w:rFonts w:hint="eastAsia" w:ascii="宋体" w:hAnsi="宋体" w:cs="宋体"/>
          <w:color w:val="000000"/>
          <w:szCs w:val="21"/>
          <w:highlight w:val="white"/>
        </w:rPr>
        <w:t>同价</w:t>
      </w:r>
      <w:bookmarkEnd w:id="1069"/>
      <w:bookmarkEnd w:id="1070"/>
      <w:bookmarkEnd w:id="1071"/>
      <w:bookmarkEnd w:id="1072"/>
      <w:bookmarkEnd w:id="1073"/>
      <w:bookmarkEnd w:id="1074"/>
      <w:bookmarkEnd w:id="1075"/>
      <w:bookmarkEnd w:id="1076"/>
      <w:r>
        <w:rPr>
          <w:rFonts w:hint="eastAsia" w:ascii="宋体" w:hAnsi="宋体" w:cs="宋体"/>
          <w:color w:val="000000"/>
          <w:szCs w:val="21"/>
          <w:highlight w:val="white"/>
        </w:rPr>
        <w:t>格形式</w:t>
      </w:r>
    </w:p>
    <w:bookmarkEnd w:id="1077"/>
    <w:bookmarkEnd w:id="1078"/>
    <w:bookmarkEnd w:id="1079"/>
    <w:bookmarkEnd w:id="1080"/>
    <w:bookmarkEnd w:id="1081"/>
    <w:bookmarkEnd w:id="1082"/>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1、固定综合单价合同，工程结算造价以成交的综合单价和实际完成的工程量（须经发包人确认）为依据计算。</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综合单价包含的风险范围：</w:t>
      </w:r>
      <w:r>
        <w:rPr>
          <w:rFonts w:hint="eastAsia" w:ascii="宋体" w:hAnsi="宋体" w:cs="宋体"/>
          <w:color w:val="000000"/>
          <w:szCs w:val="21"/>
          <w:highlight w:val="white"/>
          <w:u w:val="single"/>
        </w:rPr>
        <w:t xml:space="preserve"> 除非合同另有规定，签约合同价应包括劳务、施工设备、材料、制造、运输、安装、试验、调试、测试、维护、管理、利润、规费、税金及合同包含应由承包人承担的所有风险（包括承包人可以预见的风险）、责任等所应有的费用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highlight w:val="white"/>
          <w:u w:val="single"/>
        </w:rPr>
      </w:pPr>
      <w:r>
        <w:rPr>
          <w:rFonts w:hint="eastAsia" w:ascii="宋体" w:hAnsi="宋体" w:cs="宋体"/>
          <w:color w:val="000000"/>
          <w:szCs w:val="21"/>
          <w:highlight w:val="white"/>
          <w:u w:val="single"/>
        </w:rPr>
        <w:t xml:space="preserve">（1）政策性规定以外的材料价格涨落等市场因素造成工程成本变化（包括各种自然风险、工程本身应由施工方应对的风险等等）； </w:t>
      </w:r>
    </w:p>
    <w:p>
      <w:pPr>
        <w:spacing w:line="360" w:lineRule="auto"/>
        <w:ind w:firstLine="420" w:firstLineChars="200"/>
        <w:jc w:val="left"/>
        <w:rPr>
          <w:rFonts w:hint="eastAsia" w:ascii="宋体" w:hAnsi="宋体" w:cs="宋体"/>
          <w:color w:val="000000"/>
          <w:szCs w:val="21"/>
          <w:highlight w:val="white"/>
          <w:u w:val="single"/>
        </w:rPr>
      </w:pPr>
      <w:r>
        <w:rPr>
          <w:rFonts w:hint="eastAsia" w:ascii="宋体" w:hAnsi="宋体" w:cs="宋体"/>
          <w:color w:val="000000"/>
          <w:szCs w:val="21"/>
          <w:highlight w:val="white"/>
          <w:u w:val="single"/>
        </w:rPr>
        <w:t>（2）本项目合同价及结算价已</w:t>
      </w:r>
      <w:r>
        <w:rPr>
          <w:rFonts w:hint="eastAsia" w:ascii="宋体" w:hAnsi="宋体" w:cs="宋体"/>
          <w:color w:val="000000"/>
          <w:szCs w:val="21"/>
          <w:highlight w:val="white"/>
          <w:u w:val="single"/>
          <w:lang w:eastAsia="zh-CN"/>
        </w:rPr>
        <w:t>包含货物及零配件的购置和安装、工程实施、施工场地勘查费、运输保险、垃圾清运、装卸、工地管理及水电费、办理施工报建和报验手续、材料检验费、质保期售后服务及质量保修期间的维修保养费用、雇员费用、税费、合理利润、风险费用及合同签订过程中可预见和不可预见费用。</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风险费用的计算方法：</w:t>
      </w:r>
      <w:r>
        <w:rPr>
          <w:rFonts w:hint="eastAsia" w:ascii="宋体" w:hAnsi="宋体" w:cs="宋体"/>
          <w:color w:val="000000"/>
          <w:szCs w:val="21"/>
          <w:highlight w:val="white"/>
          <w:u w:val="single"/>
        </w:rPr>
        <w:t xml:space="preserve"> 风险费用已包括在综合单价中</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风险范围以外合同价格的调整方法：</w:t>
      </w:r>
      <w:r>
        <w:rPr>
          <w:rFonts w:hint="eastAsia" w:ascii="宋体" w:hAnsi="宋体" w:cs="宋体"/>
          <w:color w:val="000000"/>
          <w:szCs w:val="21"/>
          <w:highlight w:val="white"/>
          <w:u w:val="single"/>
        </w:rPr>
        <w:t xml:space="preserve"> 风险费用已包括在综合单价中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2、总价合同。</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总价包含的风险范围：</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风险费用的计算方法：</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风险范围以外合同价格的调整方法：</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u w:val="single"/>
        </w:rPr>
      </w:pPr>
      <w:r>
        <w:rPr>
          <w:rFonts w:hint="eastAsia" w:ascii="宋体" w:hAnsi="宋体" w:cs="宋体"/>
          <w:color w:val="000000"/>
          <w:szCs w:val="21"/>
          <w:highlight w:val="white"/>
        </w:rPr>
        <w:t>3、其他价格方式：</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rPr>
          <w:rFonts w:hint="eastAsia" w:ascii="宋体" w:hAnsi="宋体" w:cs="宋体"/>
          <w:szCs w:val="21"/>
        </w:rPr>
      </w:pPr>
      <w:bookmarkStart w:id="1083" w:name="_Toc303539161"/>
      <w:bookmarkStart w:id="1084" w:name="_Toc297123554"/>
      <w:bookmarkStart w:id="1085" w:name="_Toc312678042"/>
      <w:bookmarkStart w:id="1086" w:name="_Toc304295581"/>
      <w:bookmarkStart w:id="1087" w:name="_Toc297216213"/>
      <w:bookmarkStart w:id="1088" w:name="_Toc300935004"/>
      <w:bookmarkStart w:id="1089" w:name="_Toc292559917"/>
      <w:bookmarkStart w:id="1090" w:name="_Toc296346708"/>
      <w:bookmarkStart w:id="1091" w:name="_Toc296891035"/>
      <w:bookmarkStart w:id="1092" w:name="_Toc297120507"/>
      <w:bookmarkStart w:id="1093" w:name="_Toc292559412"/>
      <w:bookmarkStart w:id="1094" w:name="_Toc296891247"/>
      <w:bookmarkStart w:id="1095" w:name="_Toc297048393"/>
      <w:bookmarkStart w:id="1096" w:name="_Toc296944546"/>
      <w:bookmarkStart w:id="1097" w:name="_Toc296503207"/>
      <w:bookmarkStart w:id="1098" w:name="_Toc296347206"/>
      <w:r>
        <w:rPr>
          <w:rFonts w:hint="eastAsia" w:ascii="宋体" w:hAnsi="宋体" w:cs="宋体"/>
          <w:color w:val="000000"/>
          <w:szCs w:val="21"/>
          <w:highlight w:val="white"/>
        </w:rPr>
        <w:t>12.2 预付款</w:t>
      </w:r>
    </w:p>
    <w:bookmarkEnd w:id="1083"/>
    <w:bookmarkEnd w:id="1084"/>
    <w:bookmarkEnd w:id="1085"/>
    <w:bookmarkEnd w:id="1086"/>
    <w:bookmarkEnd w:id="1087"/>
    <w:bookmarkEnd w:id="1088"/>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12.2.1 预付款的支付</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预付款支付比例或金额：</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预付款支付期限：</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预付款扣回的方式：</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12.2.2 预付款担保</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承包人提交预付款担保的期限：</w:t>
      </w:r>
      <w:r>
        <w:rPr>
          <w:rFonts w:hint="eastAsia" w:ascii="宋体" w:hAnsi="宋体" w:cs="宋体"/>
          <w:color w:val="000000"/>
          <w:szCs w:val="21"/>
          <w:highlight w:val="white"/>
          <w:u w:val="single"/>
        </w:rPr>
        <w:t xml:space="preserve"> 本项目不需要提供预付款担保</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预付款担保的形式为：</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bookmarkEnd w:id="1089"/>
    <w:bookmarkEnd w:id="1090"/>
    <w:bookmarkEnd w:id="1091"/>
    <w:bookmarkEnd w:id="1092"/>
    <w:bookmarkEnd w:id="1093"/>
    <w:bookmarkEnd w:id="1094"/>
    <w:bookmarkEnd w:id="1095"/>
    <w:bookmarkEnd w:id="1096"/>
    <w:bookmarkEnd w:id="1097"/>
    <w:bookmarkEnd w:id="1098"/>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highlight w:val="white"/>
        </w:rPr>
        <w:t>12.3 计量</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12.3.1 计量原则</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工程量计算规则：</w:t>
      </w:r>
      <w:r>
        <w:rPr>
          <w:rFonts w:hint="eastAsia" w:ascii="宋体" w:hAnsi="宋体" w:cs="宋体"/>
          <w:color w:val="000000"/>
          <w:szCs w:val="21"/>
          <w:highlight w:val="white"/>
          <w:u w:val="single"/>
        </w:rPr>
        <w:t xml:space="preserve"> 本项目按招标控制价注明的工程量计算规则和有关法律、法规及广东省、佛山市现行文件规定执行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12.3.2 计量周期</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关于计量周期的约定：</w:t>
      </w:r>
      <w:r>
        <w:rPr>
          <w:rFonts w:hint="eastAsia" w:ascii="宋体" w:hAnsi="宋体" w:cs="宋体"/>
          <w:color w:val="000000"/>
          <w:szCs w:val="21"/>
          <w:highlight w:val="white"/>
          <w:u w:val="single"/>
        </w:rPr>
        <w:t xml:space="preserve"> 按月计量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12.3.3 单价合同的计量</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关于单价合同计量的约定：</w:t>
      </w:r>
      <w:r>
        <w:rPr>
          <w:rFonts w:hint="eastAsia" w:ascii="宋体" w:hAnsi="宋体" w:cs="宋体"/>
          <w:color w:val="000000"/>
          <w:szCs w:val="21"/>
          <w:highlight w:val="white"/>
          <w:u w:val="single"/>
        </w:rPr>
        <w:t xml:space="preserve"> 承包人向</w:t>
      </w:r>
      <w:r>
        <w:rPr>
          <w:rFonts w:hint="eastAsia" w:ascii="宋体" w:hAnsi="宋体" w:cs="宋体"/>
          <w:color w:val="000000"/>
          <w:szCs w:val="21"/>
          <w:highlight w:val="white"/>
          <w:u w:val="single"/>
          <w:lang w:eastAsia="zh-CN"/>
        </w:rPr>
        <w:t>发包</w:t>
      </w:r>
      <w:r>
        <w:rPr>
          <w:rFonts w:hint="eastAsia" w:ascii="宋体" w:hAnsi="宋体" w:cs="宋体"/>
          <w:color w:val="000000"/>
          <w:szCs w:val="21"/>
          <w:highlight w:val="white"/>
          <w:u w:val="single"/>
        </w:rPr>
        <w:t xml:space="preserve">人递交实际完成的工程量及预算书，发包人在收到第三方造价机构审核的预算书后3个工作日内复核完毕， 并根据核定的工程量划拨工程款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12.3.4 总价合同的计量</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关于总价合同计量的约定：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12.3.5总价合同采用支付分解表计量支付的，是否适用第</w:t>
      </w:r>
      <w:r>
        <w:rPr>
          <w:rFonts w:hint="eastAsia" w:ascii="宋体" w:hAnsi="宋体" w:cs="宋体"/>
          <w:color w:val="000000"/>
          <w:kern w:val="0"/>
          <w:szCs w:val="21"/>
          <w:highlight w:val="white"/>
        </w:rPr>
        <w:t xml:space="preserve">12.3.4 </w:t>
      </w:r>
      <w:r>
        <w:rPr>
          <w:rFonts w:hint="eastAsia" w:ascii="宋体" w:hAnsi="宋体" w:cs="宋体"/>
          <w:color w:val="000000"/>
          <w:szCs w:val="21"/>
          <w:highlight w:val="white"/>
        </w:rPr>
        <w:t>项</w:t>
      </w:r>
      <w:r>
        <w:rPr>
          <w:rFonts w:hint="eastAsia" w:ascii="宋体" w:hAnsi="宋体" w:cs="宋体"/>
          <w:color w:val="000000"/>
          <w:kern w:val="0"/>
          <w:szCs w:val="21"/>
          <w:highlight w:val="white"/>
        </w:rPr>
        <w:t>〔总价合同的计量〕</w:t>
      </w:r>
      <w:r>
        <w:rPr>
          <w:rFonts w:hint="eastAsia" w:ascii="宋体" w:hAnsi="宋体" w:cs="宋体"/>
          <w:color w:val="000000"/>
          <w:szCs w:val="21"/>
          <w:highlight w:val="white"/>
        </w:rPr>
        <w:t>约定进行计量：</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12.3.6 其他价格形式合同的计量</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其他价格形式的计量方式和程序：</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highlight w:val="white"/>
        </w:rPr>
        <w:t>12.4 工程进度款支付</w:t>
      </w:r>
    </w:p>
    <w:p>
      <w:pPr>
        <w:spacing w:line="360" w:lineRule="auto"/>
        <w:ind w:firstLine="420" w:firstLineChars="200"/>
        <w:jc w:val="left"/>
        <w:rPr>
          <w:rFonts w:hint="eastAsia" w:ascii="宋体" w:hAnsi="宋体" w:cs="宋体"/>
          <w:color w:val="000000"/>
          <w:szCs w:val="21"/>
        </w:rPr>
      </w:pPr>
      <w:bookmarkStart w:id="1099" w:name="_Toc292559416"/>
      <w:bookmarkStart w:id="1100" w:name="_Toc300935006"/>
      <w:bookmarkStart w:id="1101" w:name="_Toc297216215"/>
      <w:bookmarkStart w:id="1102" w:name="_Toc297120511"/>
      <w:bookmarkStart w:id="1103" w:name="_Toc296503211"/>
      <w:bookmarkStart w:id="1104" w:name="_Toc296347210"/>
      <w:bookmarkStart w:id="1105" w:name="_Toc296891039"/>
      <w:bookmarkStart w:id="1106" w:name="_Toc297048397"/>
      <w:bookmarkStart w:id="1107" w:name="_Toc296891251"/>
      <w:bookmarkStart w:id="1108" w:name="_Toc292559921"/>
      <w:bookmarkStart w:id="1109" w:name="_Toc296346712"/>
      <w:bookmarkStart w:id="1110" w:name="_Toc297123556"/>
      <w:bookmarkStart w:id="1111" w:name="_Toc296944550"/>
      <w:bookmarkStart w:id="1112" w:name="_Toc303539163"/>
      <w:r>
        <w:rPr>
          <w:rFonts w:hint="eastAsia" w:ascii="宋体" w:hAnsi="宋体" w:cs="宋体"/>
          <w:color w:val="000000"/>
          <w:szCs w:val="21"/>
          <w:highlight w:val="white"/>
        </w:rPr>
        <w:t>12.4.1 付款周期</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关于付款周期的约定：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highlight w:val="white"/>
          <w:u w:val="single"/>
          <w:lang w:eastAsia="zh-CN"/>
        </w:rPr>
      </w:pPr>
      <w:r>
        <w:rPr>
          <w:rFonts w:hint="eastAsia" w:ascii="宋体" w:hAnsi="宋体" w:cs="宋体"/>
          <w:color w:val="000000"/>
          <w:szCs w:val="21"/>
          <w:highlight w:val="white"/>
          <w:u w:val="single"/>
          <w:lang w:eastAsia="zh-CN"/>
        </w:rPr>
        <w:t>（</w:t>
      </w:r>
      <w:r>
        <w:rPr>
          <w:rFonts w:hint="eastAsia" w:ascii="宋体" w:hAnsi="宋体" w:cs="宋体"/>
          <w:color w:val="000000"/>
          <w:szCs w:val="21"/>
          <w:highlight w:val="white"/>
          <w:u w:val="single"/>
          <w:lang w:val="en-US" w:eastAsia="zh-CN"/>
        </w:rPr>
        <w:t>1</w:t>
      </w:r>
      <w:r>
        <w:rPr>
          <w:rFonts w:hint="eastAsia" w:ascii="宋体" w:hAnsi="宋体" w:cs="宋体"/>
          <w:color w:val="000000"/>
          <w:szCs w:val="21"/>
          <w:highlight w:val="white"/>
          <w:u w:val="single"/>
          <w:lang w:eastAsia="zh-CN"/>
        </w:rPr>
        <w:t>）合同生效</w:t>
      </w:r>
      <w:r>
        <w:rPr>
          <w:rFonts w:hint="eastAsia" w:ascii="宋体" w:hAnsi="宋体" w:cs="宋体"/>
          <w:color w:val="000000"/>
          <w:szCs w:val="21"/>
          <w:highlight w:val="white"/>
          <w:u w:val="single"/>
          <w:lang w:val="en-US" w:eastAsia="zh-CN"/>
        </w:rPr>
        <w:t>后，</w:t>
      </w:r>
      <w:r>
        <w:rPr>
          <w:rFonts w:hint="eastAsia" w:ascii="宋体" w:hAnsi="宋体" w:cs="宋体"/>
          <w:color w:val="000000"/>
          <w:szCs w:val="21"/>
          <w:highlight w:val="white"/>
          <w:u w:val="single"/>
          <w:lang w:eastAsia="zh-CN"/>
        </w:rPr>
        <w:t>工程安装调试完毕并交付验收合格，且结算审核完成，结算价经双方确认后，支付至结算总价的</w:t>
      </w:r>
      <w:r>
        <w:rPr>
          <w:rFonts w:hint="eastAsia" w:ascii="宋体" w:hAnsi="宋体" w:cs="宋体"/>
          <w:color w:val="000000"/>
          <w:szCs w:val="21"/>
          <w:highlight w:val="white"/>
          <w:u w:val="single"/>
          <w:lang w:val="en-US" w:eastAsia="zh-CN"/>
        </w:rPr>
        <w:t>100</w:t>
      </w:r>
      <w:r>
        <w:rPr>
          <w:rFonts w:hint="eastAsia" w:ascii="宋体" w:hAnsi="宋体" w:cs="宋体"/>
          <w:color w:val="000000"/>
          <w:szCs w:val="21"/>
          <w:highlight w:val="white"/>
          <w:u w:val="single"/>
          <w:lang w:eastAsia="zh-CN"/>
        </w:rPr>
        <w:t>%。</w:t>
      </w:r>
    </w:p>
    <w:p>
      <w:pPr>
        <w:spacing w:line="360" w:lineRule="auto"/>
        <w:ind w:firstLine="420" w:firstLineChars="200"/>
        <w:jc w:val="left"/>
        <w:rPr>
          <w:rFonts w:hint="eastAsia" w:ascii="宋体" w:hAnsi="宋体" w:cs="宋体"/>
          <w:color w:val="000000"/>
          <w:szCs w:val="21"/>
          <w:highlight w:val="none"/>
          <w:u w:val="single"/>
          <w:lang w:eastAsia="zh-CN"/>
        </w:rPr>
      </w:pPr>
      <w:r>
        <w:rPr>
          <w:rFonts w:hint="eastAsia" w:ascii="宋体" w:hAnsi="宋体" w:cs="宋体"/>
          <w:color w:val="000000"/>
          <w:szCs w:val="21"/>
          <w:highlight w:val="none"/>
          <w:u w:val="single"/>
          <w:lang w:eastAsia="zh-CN"/>
        </w:rPr>
        <w:t>（</w:t>
      </w:r>
      <w:r>
        <w:rPr>
          <w:rFonts w:hint="eastAsia" w:ascii="宋体" w:hAnsi="宋体" w:cs="宋体"/>
          <w:color w:val="000000"/>
          <w:szCs w:val="21"/>
          <w:highlight w:val="none"/>
          <w:u w:val="single"/>
          <w:lang w:val="en-US" w:eastAsia="zh-CN"/>
        </w:rPr>
        <w:t>2</w:t>
      </w:r>
      <w:r>
        <w:rPr>
          <w:rFonts w:hint="eastAsia" w:ascii="宋体" w:hAnsi="宋体" w:cs="宋体"/>
          <w:color w:val="000000"/>
          <w:szCs w:val="21"/>
          <w:highlight w:val="none"/>
          <w:u w:val="single"/>
          <w:lang w:eastAsia="zh-CN"/>
        </w:rPr>
        <w:t>）工程最终结算价格以</w:t>
      </w:r>
      <w:r>
        <w:rPr>
          <w:rFonts w:hint="eastAsia" w:ascii="宋体" w:hAnsi="宋体" w:cs="宋体"/>
          <w:color w:val="000000"/>
          <w:szCs w:val="21"/>
          <w:highlight w:val="none"/>
          <w:u w:val="single"/>
          <w:lang w:val="en-US" w:eastAsia="zh-CN"/>
        </w:rPr>
        <w:t>发包人</w:t>
      </w:r>
      <w:r>
        <w:rPr>
          <w:rFonts w:hint="eastAsia" w:ascii="宋体" w:hAnsi="宋体" w:cs="宋体"/>
          <w:color w:val="000000"/>
          <w:szCs w:val="21"/>
          <w:highlight w:val="none"/>
          <w:u w:val="single"/>
          <w:lang w:eastAsia="zh-CN"/>
        </w:rPr>
        <w:t>委托的第三方出具的造价审定书为准。</w:t>
      </w:r>
    </w:p>
    <w:p>
      <w:pPr>
        <w:spacing w:line="360" w:lineRule="auto"/>
        <w:ind w:firstLine="420" w:firstLineChars="200"/>
        <w:jc w:val="left"/>
        <w:rPr>
          <w:rFonts w:hint="eastAsia" w:ascii="宋体" w:hAnsi="宋体" w:cs="宋体"/>
          <w:color w:val="000000"/>
          <w:szCs w:val="21"/>
          <w:highlight w:val="none"/>
          <w:u w:val="single"/>
          <w:lang w:eastAsia="zh-CN"/>
        </w:rPr>
      </w:pPr>
      <w:r>
        <w:rPr>
          <w:rFonts w:hint="eastAsia" w:ascii="宋体" w:hAnsi="宋体" w:cs="宋体"/>
          <w:color w:val="000000"/>
          <w:szCs w:val="21"/>
          <w:highlight w:val="none"/>
          <w:u w:val="single"/>
          <w:lang w:eastAsia="zh-CN"/>
        </w:rPr>
        <w:t>（</w:t>
      </w:r>
      <w:r>
        <w:rPr>
          <w:rFonts w:hint="eastAsia" w:ascii="宋体" w:hAnsi="宋体" w:cs="宋体"/>
          <w:color w:val="000000"/>
          <w:szCs w:val="21"/>
          <w:highlight w:val="none"/>
          <w:u w:val="single"/>
          <w:lang w:val="en-US" w:eastAsia="zh-CN"/>
        </w:rPr>
        <w:t>3</w:t>
      </w:r>
      <w:r>
        <w:rPr>
          <w:rFonts w:hint="eastAsia" w:ascii="宋体" w:hAnsi="宋体" w:cs="宋体"/>
          <w:color w:val="000000"/>
          <w:szCs w:val="21"/>
          <w:highlight w:val="none"/>
          <w:u w:val="single"/>
          <w:lang w:eastAsia="zh-CN"/>
        </w:rPr>
        <w:t>）工程竣工报告经</w:t>
      </w:r>
      <w:r>
        <w:rPr>
          <w:rFonts w:hint="eastAsia" w:ascii="宋体" w:hAnsi="宋体" w:cs="宋体"/>
          <w:color w:val="000000"/>
          <w:szCs w:val="21"/>
          <w:highlight w:val="none"/>
          <w:u w:val="single"/>
          <w:lang w:val="en-US" w:eastAsia="zh-CN"/>
        </w:rPr>
        <w:t>发包人</w:t>
      </w:r>
      <w:r>
        <w:rPr>
          <w:rFonts w:hint="eastAsia" w:ascii="宋体" w:hAnsi="宋体" w:cs="宋体"/>
          <w:color w:val="000000"/>
          <w:szCs w:val="21"/>
          <w:highlight w:val="none"/>
          <w:u w:val="single"/>
          <w:lang w:eastAsia="zh-CN"/>
        </w:rPr>
        <w:t>认可后28天内，承包人向</w:t>
      </w:r>
      <w:r>
        <w:rPr>
          <w:rFonts w:hint="eastAsia" w:ascii="宋体" w:hAnsi="宋体" w:cs="宋体"/>
          <w:color w:val="000000"/>
          <w:szCs w:val="21"/>
          <w:highlight w:val="none"/>
          <w:u w:val="single"/>
          <w:lang w:val="en-US" w:eastAsia="zh-CN"/>
        </w:rPr>
        <w:t>发包人</w:t>
      </w:r>
      <w:r>
        <w:rPr>
          <w:rFonts w:hint="eastAsia" w:ascii="宋体" w:hAnsi="宋体" w:cs="宋体"/>
          <w:color w:val="000000"/>
          <w:szCs w:val="21"/>
          <w:highlight w:val="none"/>
          <w:u w:val="single"/>
          <w:lang w:eastAsia="zh-CN"/>
        </w:rPr>
        <w:t>递交竣工结算报告及完整的结算资料，双方按照本合同约定的合同价款内容及相关价款调整方式，进行工程竣工结算。</w:t>
      </w:r>
    </w:p>
    <w:p>
      <w:pPr>
        <w:spacing w:line="360" w:lineRule="auto"/>
        <w:ind w:firstLine="420" w:firstLineChars="200"/>
        <w:jc w:val="left"/>
        <w:rPr>
          <w:rFonts w:hint="eastAsia" w:ascii="宋体" w:hAnsi="宋体" w:cs="宋体"/>
          <w:color w:val="000000"/>
          <w:szCs w:val="21"/>
          <w:highlight w:val="none"/>
          <w:u w:val="single"/>
          <w:lang w:eastAsia="zh-CN"/>
        </w:rPr>
      </w:pPr>
      <w:r>
        <w:rPr>
          <w:rFonts w:hint="eastAsia" w:ascii="宋体" w:hAnsi="宋体" w:cs="宋体"/>
          <w:color w:val="000000"/>
          <w:szCs w:val="21"/>
          <w:highlight w:val="none"/>
          <w:u w:val="single"/>
          <w:lang w:eastAsia="zh-CN"/>
        </w:rPr>
        <w:t>（</w:t>
      </w:r>
      <w:r>
        <w:rPr>
          <w:rFonts w:hint="eastAsia" w:ascii="宋体" w:hAnsi="宋体" w:cs="宋体"/>
          <w:color w:val="000000"/>
          <w:szCs w:val="21"/>
          <w:highlight w:val="none"/>
          <w:u w:val="single"/>
          <w:lang w:val="en-US" w:eastAsia="zh-CN"/>
        </w:rPr>
        <w:t>4</w:t>
      </w:r>
      <w:r>
        <w:rPr>
          <w:rFonts w:hint="eastAsia" w:ascii="宋体" w:hAnsi="宋体" w:cs="宋体"/>
          <w:color w:val="000000"/>
          <w:szCs w:val="21"/>
          <w:highlight w:val="none"/>
          <w:u w:val="single"/>
          <w:lang w:eastAsia="zh-CN"/>
        </w:rPr>
        <w:t>）</w:t>
      </w:r>
      <w:r>
        <w:rPr>
          <w:rFonts w:hint="eastAsia" w:ascii="宋体" w:hAnsi="宋体" w:cs="宋体"/>
          <w:color w:val="000000"/>
          <w:szCs w:val="21"/>
          <w:highlight w:val="none"/>
          <w:u w:val="single"/>
          <w:lang w:val="en-US" w:eastAsia="zh-CN"/>
        </w:rPr>
        <w:t>发包人</w:t>
      </w:r>
      <w:r>
        <w:rPr>
          <w:rFonts w:hint="eastAsia" w:ascii="宋体" w:hAnsi="宋体" w:cs="宋体"/>
          <w:color w:val="000000"/>
          <w:szCs w:val="21"/>
          <w:highlight w:val="none"/>
          <w:u w:val="single"/>
          <w:lang w:eastAsia="zh-CN"/>
        </w:rPr>
        <w:t>收到承包人递交的竣工结算报告及结算资料后30天内进行审核，出具最终工程造价审定书。</w:t>
      </w:r>
      <w:r>
        <w:rPr>
          <w:rFonts w:hint="eastAsia" w:ascii="宋体" w:hAnsi="宋体" w:cs="宋体"/>
          <w:color w:val="000000"/>
          <w:szCs w:val="21"/>
          <w:highlight w:val="none"/>
          <w:u w:val="single"/>
          <w:lang w:val="en-US" w:eastAsia="zh-CN"/>
        </w:rPr>
        <w:t>发包人</w:t>
      </w:r>
      <w:r>
        <w:rPr>
          <w:rFonts w:hint="eastAsia" w:ascii="宋体" w:hAnsi="宋体" w:cs="宋体"/>
          <w:color w:val="000000"/>
          <w:szCs w:val="21"/>
          <w:highlight w:val="none"/>
          <w:u w:val="single"/>
          <w:lang w:eastAsia="zh-CN"/>
        </w:rPr>
        <w:t>收到竣工结算价款后按造价审定书结算价支付工程其余款项。</w:t>
      </w:r>
    </w:p>
    <w:p>
      <w:pPr>
        <w:spacing w:line="360" w:lineRule="auto"/>
        <w:ind w:firstLine="420" w:firstLineChars="200"/>
        <w:jc w:val="left"/>
        <w:rPr>
          <w:rFonts w:hint="eastAsia" w:ascii="宋体" w:hAnsi="宋体" w:cs="宋体"/>
          <w:color w:val="000000"/>
          <w:szCs w:val="21"/>
          <w:highlight w:val="white"/>
          <w:u w:val="single"/>
          <w:lang w:eastAsia="zh-CN"/>
        </w:rPr>
      </w:pPr>
      <w:r>
        <w:rPr>
          <w:rFonts w:hint="eastAsia" w:ascii="宋体" w:hAnsi="宋体" w:cs="宋体"/>
          <w:color w:val="000000"/>
          <w:szCs w:val="21"/>
          <w:highlight w:val="white"/>
          <w:u w:val="single"/>
          <w:lang w:eastAsia="zh-CN"/>
        </w:rPr>
        <w:t>注：</w:t>
      </w:r>
    </w:p>
    <w:p>
      <w:pPr>
        <w:spacing w:line="360" w:lineRule="auto"/>
        <w:ind w:firstLine="420" w:firstLineChars="200"/>
        <w:jc w:val="left"/>
        <w:rPr>
          <w:rFonts w:hint="eastAsia" w:ascii="宋体" w:hAnsi="宋体" w:cs="宋体"/>
          <w:color w:val="000000"/>
          <w:szCs w:val="21"/>
          <w:highlight w:val="white"/>
          <w:u w:val="single"/>
          <w:lang w:eastAsia="zh-CN"/>
        </w:rPr>
      </w:pPr>
      <w:r>
        <w:rPr>
          <w:rFonts w:hint="eastAsia" w:ascii="宋体" w:hAnsi="宋体" w:cs="宋体"/>
          <w:color w:val="000000"/>
          <w:szCs w:val="21"/>
          <w:highlight w:val="white"/>
          <w:u w:val="single"/>
          <w:lang w:val="en-US" w:eastAsia="zh-CN"/>
        </w:rPr>
        <w:t>1</w:t>
      </w:r>
      <w:r>
        <w:rPr>
          <w:rFonts w:hint="eastAsia" w:ascii="宋体" w:hAnsi="宋体" w:cs="宋体"/>
          <w:color w:val="000000"/>
          <w:szCs w:val="21"/>
          <w:highlight w:val="white"/>
          <w:u w:val="single"/>
          <w:lang w:eastAsia="zh-CN"/>
        </w:rPr>
        <w:t>）承包人每次申请付款前应向发包人提供依法纳税的发票。</w:t>
      </w:r>
    </w:p>
    <w:p>
      <w:pPr>
        <w:spacing w:line="360" w:lineRule="auto"/>
        <w:ind w:firstLine="420" w:firstLineChars="200"/>
        <w:jc w:val="left"/>
        <w:rPr>
          <w:rFonts w:hint="eastAsia" w:ascii="宋体" w:hAnsi="宋体" w:cs="宋体"/>
          <w:color w:val="000000"/>
          <w:szCs w:val="21"/>
          <w:highlight w:val="white"/>
          <w:u w:val="single"/>
          <w:lang w:eastAsia="zh-CN"/>
        </w:rPr>
      </w:pPr>
      <w:r>
        <w:rPr>
          <w:rFonts w:hint="eastAsia" w:ascii="宋体" w:hAnsi="宋体" w:cs="宋体"/>
          <w:color w:val="000000"/>
          <w:szCs w:val="21"/>
          <w:highlight w:val="white"/>
          <w:u w:val="single"/>
          <w:lang w:val="en-US" w:eastAsia="zh-CN"/>
        </w:rPr>
        <w:t>2</w:t>
      </w:r>
      <w:r>
        <w:rPr>
          <w:rFonts w:hint="eastAsia" w:ascii="宋体" w:hAnsi="宋体" w:cs="宋体"/>
          <w:color w:val="000000"/>
          <w:szCs w:val="21"/>
          <w:highlight w:val="white"/>
          <w:u w:val="single"/>
          <w:lang w:eastAsia="zh-CN"/>
        </w:rPr>
        <w:t>）合同款以转账方式转入承包人的银行账户。</w:t>
      </w:r>
    </w:p>
    <w:p>
      <w:pPr>
        <w:spacing w:line="360" w:lineRule="auto"/>
        <w:ind w:firstLine="420" w:firstLineChars="200"/>
        <w:jc w:val="left"/>
        <w:rPr>
          <w:rFonts w:hint="eastAsia" w:ascii="宋体" w:hAnsi="宋体" w:cs="宋体"/>
          <w:color w:val="000000"/>
          <w:szCs w:val="21"/>
          <w:highlight w:val="white"/>
          <w:u w:val="single"/>
          <w:lang w:val="en-US" w:eastAsia="zh-CN"/>
        </w:rPr>
      </w:pPr>
      <w:r>
        <w:rPr>
          <w:rFonts w:hint="eastAsia" w:ascii="宋体" w:hAnsi="宋体" w:cs="宋体"/>
          <w:color w:val="000000"/>
          <w:szCs w:val="21"/>
          <w:highlight w:val="white"/>
          <w:u w:val="single"/>
          <w:lang w:val="en-US" w:eastAsia="zh-CN"/>
        </w:rPr>
        <w:t>3</w:t>
      </w:r>
      <w:r>
        <w:rPr>
          <w:rFonts w:hint="eastAsia" w:ascii="宋体" w:hAnsi="宋体" w:cs="宋体"/>
          <w:color w:val="000000"/>
          <w:szCs w:val="21"/>
          <w:highlight w:val="white"/>
          <w:u w:val="single"/>
          <w:lang w:eastAsia="zh-CN"/>
        </w:rPr>
        <w:t>）收款方、出具发票方、合同承包人均必须与中标供应商名称一致。</w:t>
      </w:r>
    </w:p>
    <w:p>
      <w:pPr>
        <w:spacing w:line="360" w:lineRule="auto"/>
        <w:ind w:firstLine="420" w:firstLineChars="200"/>
        <w:jc w:val="left"/>
        <w:rPr>
          <w:rFonts w:hint="eastAsia" w:ascii="宋体" w:hAnsi="宋体" w:cs="宋体"/>
          <w:color w:val="000000"/>
          <w:szCs w:val="21"/>
          <w:highlight w:val="white"/>
          <w:u w:val="single"/>
          <w:lang w:val="en-US" w:eastAsia="zh-CN"/>
        </w:rPr>
      </w:pPr>
      <w:r>
        <w:rPr>
          <w:rFonts w:hint="eastAsia" w:ascii="宋体" w:hAnsi="宋体" w:cs="宋体"/>
          <w:color w:val="000000"/>
          <w:szCs w:val="21"/>
          <w:highlight w:val="white"/>
          <w:u w:val="single"/>
          <w:lang w:val="en-US" w:eastAsia="zh-CN"/>
        </w:rPr>
        <w:t>4</w:t>
      </w:r>
      <w:r>
        <w:rPr>
          <w:rFonts w:hint="eastAsia" w:ascii="宋体" w:hAnsi="宋体" w:cs="宋体"/>
          <w:color w:val="000000"/>
          <w:szCs w:val="21"/>
          <w:highlight w:val="white"/>
          <w:u w:val="single"/>
          <w:lang w:eastAsia="zh-CN"/>
        </w:rPr>
        <w:t>）发包人</w:t>
      </w:r>
      <w:r>
        <w:rPr>
          <w:rFonts w:hint="eastAsia" w:ascii="宋体" w:hAnsi="宋体" w:cs="宋体"/>
          <w:color w:val="000000"/>
          <w:szCs w:val="21"/>
          <w:highlight w:val="white"/>
          <w:u w:val="single"/>
          <w:lang w:val="en-US" w:eastAsia="zh-CN"/>
        </w:rPr>
        <w:t>签署验收确认书及申办每期拨款手续均可在7个工作日内完成，属于合同款是市财政局国库支付中心直接支付给</w:t>
      </w:r>
      <w:r>
        <w:rPr>
          <w:rFonts w:hint="eastAsia" w:ascii="宋体" w:hAnsi="宋体" w:cs="宋体"/>
          <w:color w:val="000000"/>
          <w:szCs w:val="21"/>
          <w:highlight w:val="white"/>
          <w:u w:val="single"/>
          <w:lang w:eastAsia="zh-CN"/>
        </w:rPr>
        <w:t>承包人</w:t>
      </w:r>
      <w:r>
        <w:rPr>
          <w:rFonts w:hint="eastAsia" w:ascii="宋体" w:hAnsi="宋体" w:cs="宋体"/>
          <w:color w:val="000000"/>
          <w:szCs w:val="21"/>
          <w:highlight w:val="white"/>
          <w:u w:val="single"/>
          <w:lang w:val="en-US" w:eastAsia="zh-CN"/>
        </w:rPr>
        <w:t>的项目，“付款”是指</w:t>
      </w:r>
      <w:r>
        <w:rPr>
          <w:rFonts w:hint="eastAsia" w:ascii="宋体" w:hAnsi="宋体" w:cs="宋体"/>
          <w:color w:val="000000"/>
          <w:szCs w:val="21"/>
          <w:highlight w:val="white"/>
          <w:u w:val="single"/>
          <w:lang w:eastAsia="zh-CN"/>
        </w:rPr>
        <w:t>发包人</w:t>
      </w:r>
      <w:r>
        <w:rPr>
          <w:rFonts w:hint="eastAsia" w:ascii="宋体" w:hAnsi="宋体" w:cs="宋体"/>
          <w:color w:val="000000"/>
          <w:szCs w:val="21"/>
          <w:highlight w:val="white"/>
          <w:u w:val="single"/>
          <w:lang w:val="en-US" w:eastAsia="zh-CN"/>
        </w:rPr>
        <w:t>向主管部门发出申请付款文件。</w:t>
      </w:r>
    </w:p>
    <w:p>
      <w:pPr>
        <w:spacing w:line="360" w:lineRule="auto"/>
        <w:ind w:firstLine="420" w:firstLineChars="200"/>
        <w:jc w:val="left"/>
        <w:rPr>
          <w:rFonts w:hint="eastAsia" w:ascii="宋体" w:hAnsi="宋体" w:cs="宋体"/>
          <w:color w:val="000000"/>
          <w:szCs w:val="21"/>
          <w:highlight w:val="white"/>
          <w:u w:val="single"/>
          <w:lang w:val="en-US" w:eastAsia="zh-CN"/>
        </w:rPr>
      </w:pPr>
      <w:r>
        <w:rPr>
          <w:rFonts w:hint="eastAsia" w:ascii="宋体" w:hAnsi="宋体" w:cs="宋体"/>
          <w:color w:val="000000"/>
          <w:szCs w:val="21"/>
          <w:highlight w:val="white"/>
          <w:u w:val="single"/>
          <w:lang w:val="en-US" w:eastAsia="zh-CN"/>
        </w:rPr>
        <w:t>5</w:t>
      </w:r>
      <w:r>
        <w:rPr>
          <w:rFonts w:hint="eastAsia" w:ascii="宋体" w:hAnsi="宋体" w:cs="宋体"/>
          <w:color w:val="000000"/>
          <w:szCs w:val="21"/>
          <w:highlight w:val="white"/>
          <w:u w:val="single"/>
          <w:lang w:eastAsia="zh-CN"/>
        </w:rPr>
        <w:t>）承包人</w:t>
      </w:r>
      <w:r>
        <w:rPr>
          <w:rFonts w:hint="eastAsia" w:ascii="宋体" w:hAnsi="宋体" w:cs="宋体"/>
          <w:color w:val="000000"/>
          <w:szCs w:val="21"/>
          <w:highlight w:val="white"/>
          <w:u w:val="single"/>
          <w:lang w:val="en-US" w:eastAsia="zh-CN"/>
        </w:rPr>
        <w:t>应理解</w:t>
      </w:r>
      <w:r>
        <w:rPr>
          <w:rFonts w:hint="eastAsia" w:ascii="宋体" w:hAnsi="宋体" w:cs="宋体"/>
          <w:color w:val="000000"/>
          <w:szCs w:val="21"/>
          <w:highlight w:val="white"/>
          <w:u w:val="single"/>
          <w:lang w:eastAsia="zh-CN"/>
        </w:rPr>
        <w:t>发包人</w:t>
      </w:r>
      <w:r>
        <w:rPr>
          <w:rFonts w:hint="eastAsia" w:ascii="宋体" w:hAnsi="宋体" w:cs="宋体"/>
          <w:color w:val="000000"/>
          <w:szCs w:val="21"/>
          <w:highlight w:val="white"/>
          <w:u w:val="single"/>
          <w:lang w:val="en-US" w:eastAsia="zh-CN"/>
        </w:rPr>
        <w:t>付款的相关程序，因</w:t>
      </w:r>
      <w:r>
        <w:rPr>
          <w:rFonts w:hint="eastAsia" w:ascii="宋体" w:hAnsi="宋体" w:cs="宋体"/>
          <w:color w:val="000000"/>
          <w:szCs w:val="21"/>
          <w:highlight w:val="white"/>
          <w:u w:val="single"/>
          <w:lang w:eastAsia="zh-CN"/>
        </w:rPr>
        <w:t>发包人</w:t>
      </w:r>
      <w:r>
        <w:rPr>
          <w:rFonts w:hint="eastAsia" w:ascii="宋体" w:hAnsi="宋体" w:cs="宋体"/>
          <w:color w:val="000000"/>
          <w:szCs w:val="21"/>
          <w:highlight w:val="white"/>
          <w:u w:val="single"/>
          <w:lang w:val="en-US" w:eastAsia="zh-CN"/>
        </w:rPr>
        <w:t>使用的是财政资金，</w:t>
      </w:r>
      <w:r>
        <w:rPr>
          <w:rFonts w:hint="eastAsia" w:ascii="宋体" w:hAnsi="宋体" w:cs="宋体"/>
          <w:color w:val="000000"/>
          <w:szCs w:val="21"/>
          <w:highlight w:val="white"/>
          <w:u w:val="single"/>
          <w:lang w:eastAsia="zh-CN"/>
        </w:rPr>
        <w:t>发包人</w:t>
      </w:r>
      <w:r>
        <w:rPr>
          <w:rFonts w:hint="eastAsia" w:ascii="宋体" w:hAnsi="宋体" w:cs="宋体"/>
          <w:color w:val="000000"/>
          <w:szCs w:val="21"/>
          <w:highlight w:val="white"/>
          <w:u w:val="single"/>
          <w:lang w:val="en-US" w:eastAsia="zh-CN"/>
        </w:rPr>
        <w:t>在前款规定的付款时间为向财政支付部门提出办理财政支付申请手续的时间，不含财政支付部门审核的时间，</w:t>
      </w:r>
      <w:r>
        <w:rPr>
          <w:rFonts w:hint="eastAsia" w:ascii="宋体" w:hAnsi="宋体" w:cs="宋体"/>
          <w:color w:val="000000"/>
          <w:szCs w:val="21"/>
          <w:highlight w:val="white"/>
          <w:u w:val="single"/>
          <w:lang w:eastAsia="zh-CN"/>
        </w:rPr>
        <w:t>发包人</w:t>
      </w:r>
      <w:r>
        <w:rPr>
          <w:rFonts w:hint="eastAsia" w:ascii="宋体" w:hAnsi="宋体" w:cs="宋体"/>
          <w:color w:val="000000"/>
          <w:szCs w:val="21"/>
          <w:highlight w:val="white"/>
          <w:u w:val="single"/>
          <w:lang w:val="en-US" w:eastAsia="zh-CN"/>
        </w:rPr>
        <w:t>在约定期限内向财政支付部门发出付款申请即视为</w:t>
      </w:r>
      <w:r>
        <w:rPr>
          <w:rFonts w:hint="eastAsia" w:ascii="宋体" w:hAnsi="宋体" w:cs="宋体"/>
          <w:color w:val="000000"/>
          <w:szCs w:val="21"/>
          <w:highlight w:val="white"/>
          <w:u w:val="single"/>
          <w:lang w:eastAsia="zh-CN"/>
        </w:rPr>
        <w:t>发包人</w:t>
      </w:r>
      <w:r>
        <w:rPr>
          <w:rFonts w:hint="eastAsia" w:ascii="宋体" w:hAnsi="宋体" w:cs="宋体"/>
          <w:color w:val="000000"/>
          <w:szCs w:val="21"/>
          <w:highlight w:val="white"/>
          <w:u w:val="single"/>
          <w:lang w:val="en-US" w:eastAsia="zh-CN"/>
        </w:rPr>
        <w:t>已按期支付。因财政支付审批流程及办理手续而造成项目支付进度有所推延，</w:t>
      </w:r>
      <w:r>
        <w:rPr>
          <w:rFonts w:hint="eastAsia" w:ascii="宋体" w:hAnsi="宋体" w:cs="宋体"/>
          <w:color w:val="000000"/>
          <w:szCs w:val="21"/>
          <w:highlight w:val="white"/>
          <w:u w:val="single"/>
          <w:lang w:eastAsia="zh-CN"/>
        </w:rPr>
        <w:t>发包人</w:t>
      </w:r>
      <w:r>
        <w:rPr>
          <w:rFonts w:hint="eastAsia" w:ascii="宋体" w:hAnsi="宋体" w:cs="宋体"/>
          <w:color w:val="000000"/>
          <w:szCs w:val="21"/>
          <w:highlight w:val="white"/>
          <w:u w:val="single"/>
          <w:lang w:val="en-US" w:eastAsia="zh-CN"/>
        </w:rPr>
        <w:t>不承担逾期付款违约责任。</w:t>
      </w:r>
    </w:p>
    <w:p>
      <w:pPr>
        <w:spacing w:line="360" w:lineRule="auto"/>
        <w:ind w:firstLine="420" w:firstLineChars="200"/>
        <w:jc w:val="left"/>
        <w:rPr>
          <w:rFonts w:hint="eastAsia" w:ascii="宋体" w:hAnsi="宋体" w:cs="宋体"/>
          <w:color w:val="000000"/>
          <w:szCs w:val="21"/>
          <w:highlight w:val="white"/>
          <w:u w:val="single"/>
        </w:rPr>
      </w:pPr>
      <w:r>
        <w:rPr>
          <w:rFonts w:hint="eastAsia" w:ascii="宋体" w:hAnsi="宋体" w:cs="宋体"/>
          <w:color w:val="000000"/>
          <w:szCs w:val="21"/>
          <w:highlight w:val="white"/>
          <w:u w:val="single"/>
          <w:lang w:val="en-US" w:eastAsia="zh-CN"/>
        </w:rPr>
        <w:t>6</w:t>
      </w:r>
      <w:r>
        <w:rPr>
          <w:rFonts w:hint="eastAsia" w:ascii="宋体" w:hAnsi="宋体" w:cs="宋体"/>
          <w:color w:val="000000"/>
          <w:szCs w:val="21"/>
          <w:highlight w:val="white"/>
          <w:u w:val="single"/>
          <w:lang w:eastAsia="zh-CN"/>
        </w:rPr>
        <w:t>）</w:t>
      </w:r>
      <w:r>
        <w:rPr>
          <w:rFonts w:hint="eastAsia" w:ascii="宋体" w:hAnsi="宋体" w:cs="宋体"/>
          <w:color w:val="000000"/>
          <w:szCs w:val="21"/>
          <w:highlight w:val="white"/>
          <w:u w:val="single"/>
          <w:lang w:val="en-US" w:eastAsia="zh-CN"/>
        </w:rPr>
        <w:t>因政府财政部门跨年国库关闸、年底封账，不能按约定时间办理支付进度款，</w:t>
      </w:r>
      <w:r>
        <w:rPr>
          <w:rFonts w:hint="eastAsia" w:ascii="宋体" w:hAnsi="宋体" w:cs="宋体"/>
          <w:color w:val="000000"/>
          <w:szCs w:val="21"/>
          <w:highlight w:val="white"/>
          <w:u w:val="single"/>
          <w:lang w:eastAsia="zh-CN"/>
        </w:rPr>
        <w:t>承包人</w:t>
      </w:r>
      <w:r>
        <w:rPr>
          <w:rFonts w:hint="eastAsia" w:ascii="宋体" w:hAnsi="宋体" w:cs="宋体"/>
          <w:color w:val="000000"/>
          <w:szCs w:val="21"/>
          <w:highlight w:val="white"/>
          <w:u w:val="single"/>
          <w:lang w:val="en-US" w:eastAsia="zh-CN"/>
        </w:rPr>
        <w:t>可提前办理申请手续；若因此导致逾期付款，</w:t>
      </w:r>
      <w:r>
        <w:rPr>
          <w:rFonts w:hint="eastAsia" w:ascii="宋体" w:hAnsi="宋体" w:cs="宋体"/>
          <w:color w:val="000000"/>
          <w:szCs w:val="21"/>
          <w:highlight w:val="white"/>
          <w:u w:val="single"/>
          <w:lang w:eastAsia="zh-CN"/>
        </w:rPr>
        <w:t>发包人</w:t>
      </w:r>
      <w:r>
        <w:rPr>
          <w:rFonts w:hint="eastAsia" w:ascii="宋体" w:hAnsi="宋体" w:cs="宋体"/>
          <w:color w:val="000000"/>
          <w:szCs w:val="21"/>
          <w:highlight w:val="white"/>
          <w:u w:val="single"/>
          <w:lang w:val="en-US" w:eastAsia="zh-CN"/>
        </w:rPr>
        <w:t>不承担逾期付款违约责任。</w:t>
      </w:r>
    </w:p>
    <w:p>
      <w:pPr>
        <w:spacing w:line="360" w:lineRule="auto"/>
        <w:ind w:firstLine="420" w:firstLineChars="200"/>
        <w:jc w:val="left"/>
        <w:rPr>
          <w:rFonts w:hint="eastAsia" w:ascii="宋体" w:hAnsi="宋体" w:cs="宋体"/>
          <w:color w:val="000000"/>
          <w:szCs w:val="21"/>
          <w:highlight w:val="white"/>
          <w:u w:val="single"/>
        </w:rPr>
      </w:pPr>
      <w:r>
        <w:rPr>
          <w:rFonts w:hint="eastAsia" w:ascii="宋体" w:hAnsi="宋体" w:cs="宋体"/>
          <w:color w:val="000000"/>
          <w:szCs w:val="21"/>
          <w:highlight w:val="white"/>
          <w:u w:val="single"/>
          <w:lang w:val="en-US" w:eastAsia="zh-CN"/>
        </w:rPr>
        <w:t>7</w:t>
      </w:r>
      <w:r>
        <w:rPr>
          <w:rFonts w:hint="eastAsia" w:ascii="宋体" w:hAnsi="宋体" w:cs="宋体"/>
          <w:color w:val="000000"/>
          <w:szCs w:val="21"/>
          <w:highlight w:val="white"/>
          <w:u w:val="single"/>
          <w:lang w:eastAsia="zh-CN"/>
        </w:rPr>
        <w:t>）</w:t>
      </w:r>
      <w:r>
        <w:rPr>
          <w:rFonts w:hint="eastAsia" w:ascii="宋体" w:hAnsi="宋体" w:cs="宋体"/>
          <w:color w:val="000000"/>
          <w:szCs w:val="21"/>
          <w:highlight w:val="white"/>
          <w:u w:val="single"/>
          <w:lang w:val="en-US" w:eastAsia="zh-CN"/>
        </w:rPr>
        <w:t>本合同实施过程中,所发生的一切税费及不可预见费均由</w:t>
      </w:r>
      <w:r>
        <w:rPr>
          <w:rFonts w:hint="eastAsia" w:ascii="宋体" w:hAnsi="宋体" w:cs="宋体"/>
          <w:color w:val="000000"/>
          <w:szCs w:val="21"/>
          <w:highlight w:val="white"/>
          <w:u w:val="single"/>
          <w:lang w:eastAsia="zh-CN"/>
        </w:rPr>
        <w:t>承包人</w:t>
      </w:r>
      <w:r>
        <w:rPr>
          <w:rFonts w:hint="eastAsia" w:ascii="宋体" w:hAnsi="宋体" w:cs="宋体"/>
          <w:color w:val="000000"/>
          <w:szCs w:val="21"/>
          <w:highlight w:val="white"/>
          <w:u w:val="single"/>
          <w:lang w:val="en-US" w:eastAsia="zh-CN"/>
        </w:rPr>
        <w:t>承担。</w:t>
      </w:r>
    </w:p>
    <w:p>
      <w:pPr>
        <w:spacing w:line="360" w:lineRule="auto"/>
        <w:ind w:firstLine="420" w:firstLineChars="200"/>
        <w:jc w:val="left"/>
        <w:rPr>
          <w:rFonts w:hint="eastAsia" w:ascii="宋体" w:hAnsi="宋体" w:cs="宋体"/>
          <w:color w:val="000000"/>
          <w:szCs w:val="21"/>
          <w:highlight w:val="white"/>
          <w:u w:val="single"/>
        </w:rPr>
      </w:pPr>
      <w:r>
        <w:rPr>
          <w:rFonts w:hint="eastAsia" w:ascii="宋体" w:hAnsi="宋体" w:cs="宋体"/>
          <w:color w:val="000000"/>
          <w:szCs w:val="21"/>
          <w:highlight w:val="white"/>
          <w:u w:val="single"/>
          <w:lang w:val="en-US" w:eastAsia="zh-CN"/>
        </w:rPr>
        <w:t>8</w:t>
      </w:r>
      <w:r>
        <w:rPr>
          <w:rFonts w:hint="eastAsia" w:ascii="宋体" w:hAnsi="宋体" w:cs="宋体"/>
          <w:color w:val="000000"/>
          <w:szCs w:val="21"/>
          <w:highlight w:val="white"/>
          <w:u w:val="single"/>
          <w:lang w:eastAsia="zh-CN"/>
        </w:rPr>
        <w:t>）</w:t>
      </w:r>
      <w:r>
        <w:rPr>
          <w:rFonts w:hint="eastAsia" w:ascii="宋体" w:hAnsi="宋体" w:cs="宋体"/>
          <w:color w:val="000000"/>
          <w:szCs w:val="21"/>
          <w:highlight w:val="white"/>
          <w:u w:val="single"/>
        </w:rPr>
        <w:t>承包人须严格按照国务院有关保障农民工工资的相关法律法规之规定,彻实保证及时足额发放农民工工资,如果承包人拖欠农民工工资,发包人有权直接从本项目工程款中提取相应资金用于发放农民工工资, 承包人必须无条件认可。</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12.4.2 进度付款申请单的编制</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关于进度付款申请单编制的约定：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按通用条款执行</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1</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Fonts w:hint="eastAsia" w:ascii="宋体" w:hAnsi="宋体" w:cs="宋体"/>
          <w:color w:val="000000"/>
          <w:szCs w:val="21"/>
          <w:highlight w:val="white"/>
        </w:rPr>
        <w:t>2.4.3 进度付款申请单的提交</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（1）单价合同进度付款申请单提交的约定：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每次申请付款前</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（2）总价合同进度付款申请单提交的约定：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不适用</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（3）其他价格形式合同进度付款申请单提交的约定：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不适用</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12.4.4 进度款审核和支付</w:t>
      </w:r>
    </w:p>
    <w:p>
      <w:pPr>
        <w:spacing w:line="360" w:lineRule="auto"/>
        <w:ind w:firstLine="420" w:firstLineChars="200"/>
        <w:jc w:val="left"/>
        <w:rPr>
          <w:rFonts w:hint="eastAsia" w:ascii="宋体" w:hAnsi="宋体" w:cs="宋体"/>
          <w:color w:val="000000"/>
          <w:szCs w:val="21"/>
          <w:u w:val="single"/>
        </w:rPr>
      </w:pPr>
      <w:r>
        <w:rPr>
          <w:rFonts w:hint="eastAsia" w:ascii="宋体" w:hAnsi="宋体" w:cs="宋体"/>
          <w:color w:val="000000"/>
          <w:szCs w:val="21"/>
          <w:highlight w:val="white"/>
        </w:rPr>
        <w:t>（1）监理人审查并报送发包人的期限：</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按通用条款执行</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发包人完成审批并签发进度款支付证书的期限：</w:t>
      </w:r>
      <w:r>
        <w:rPr>
          <w:rFonts w:hint="eastAsia" w:ascii="宋体" w:hAnsi="宋体" w:cs="宋体"/>
          <w:color w:val="000000"/>
          <w:szCs w:val="21"/>
          <w:highlight w:val="white"/>
          <w:u w:val="single"/>
        </w:rPr>
        <w:t xml:space="preserve"> 本工程有关进度款项须经发包人审核确认，相关审核期限须按发包人的流程规定执行；发包人在收到第三方造价机构审核的预算书后进行审核，并于审核通过后7日内签发进度款支付证书。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（2）发包人支付进度款的期限：</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525" w:firstLineChars="250"/>
        <w:jc w:val="left"/>
        <w:rPr>
          <w:rFonts w:hint="eastAsia" w:ascii="宋体" w:hAnsi="宋体" w:cs="宋体"/>
          <w:color w:val="000000"/>
          <w:szCs w:val="21"/>
        </w:rPr>
      </w:pPr>
      <w:r>
        <w:rPr>
          <w:rFonts w:hint="eastAsia" w:ascii="宋体" w:hAnsi="宋体" w:cs="宋体"/>
          <w:color w:val="000000"/>
          <w:szCs w:val="21"/>
          <w:highlight w:val="white"/>
        </w:rPr>
        <w:t>发包人逾期支付进度款的违约金的计算方式：</w:t>
      </w:r>
      <w:r>
        <w:rPr>
          <w:rFonts w:hint="eastAsia" w:ascii="宋体" w:hAnsi="宋体" w:cs="宋体"/>
          <w:color w:val="000000"/>
          <w:szCs w:val="21"/>
          <w:highlight w:val="white"/>
          <w:u w:val="single"/>
        </w:rPr>
        <w:t xml:space="preserve"> 不设违约金，不计逾期利息 </w:t>
      </w:r>
      <w:r>
        <w:rPr>
          <w:rFonts w:hint="eastAsia" w:ascii="宋体" w:hAnsi="宋体" w:cs="宋体"/>
          <w:color w:val="000000"/>
          <w:szCs w:val="21"/>
          <w:highlight w:val="white"/>
        </w:rPr>
        <w:t>。</w:t>
      </w:r>
    </w:p>
    <w:p>
      <w:pPr>
        <w:spacing w:line="360" w:lineRule="auto"/>
        <w:ind w:firstLine="525" w:firstLineChars="250"/>
        <w:jc w:val="left"/>
        <w:rPr>
          <w:rFonts w:hint="eastAsia" w:ascii="宋体" w:hAnsi="宋体" w:cs="宋体"/>
          <w:color w:val="000000"/>
          <w:szCs w:val="21"/>
        </w:rPr>
      </w:pPr>
      <w:r>
        <w:rPr>
          <w:rFonts w:hint="eastAsia" w:ascii="宋体" w:hAnsi="宋体" w:cs="宋体"/>
          <w:color w:val="000000"/>
          <w:szCs w:val="21"/>
          <w:highlight w:val="white"/>
        </w:rPr>
        <w:t>12.4.6 支付分解表的编制</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2、总价合同支付分解表的编制与审批：</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3、单价合同的总价项目支付分解表的编制与审批：</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按通用条款执行</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bookmarkEnd w:id="932"/>
    <w:p>
      <w:pPr>
        <w:spacing w:line="360" w:lineRule="auto"/>
        <w:rPr>
          <w:rFonts w:hint="eastAsia" w:ascii="宋体" w:hAnsi="宋体" w:cs="宋体"/>
          <w:b/>
          <w:color w:val="000000"/>
          <w:szCs w:val="21"/>
        </w:rPr>
      </w:pPr>
      <w:bookmarkStart w:id="1113" w:name="_Toc389066725"/>
      <w:bookmarkStart w:id="1114" w:name="_Toc394329422"/>
      <w:bookmarkStart w:id="1115" w:name="_Toc393093293"/>
      <w:bookmarkStart w:id="1116" w:name="_Toc351203645"/>
      <w:bookmarkStart w:id="1117" w:name="_Toc392078599"/>
      <w:bookmarkStart w:id="1118" w:name="_Toc389146892"/>
      <w:bookmarkStart w:id="1119" w:name="_Toc296891047"/>
      <w:bookmarkStart w:id="1120" w:name="_Toc312678053"/>
      <w:bookmarkStart w:id="1121" w:name="_Toc292559929"/>
      <w:bookmarkStart w:id="1122" w:name="_Toc300935015"/>
      <w:bookmarkStart w:id="1123" w:name="_Toc296891259"/>
      <w:bookmarkStart w:id="1124" w:name="_Toc296347218"/>
      <w:bookmarkStart w:id="1125" w:name="_Toc296346720"/>
      <w:bookmarkStart w:id="1126" w:name="_Toc296944558"/>
      <w:bookmarkStart w:id="1127" w:name="_Toc292559424"/>
      <w:bookmarkStart w:id="1128" w:name="_Toc297120519"/>
      <w:bookmarkStart w:id="1129" w:name="_Toc296503219"/>
      <w:bookmarkStart w:id="1130" w:name="_Toc304295593"/>
      <w:bookmarkStart w:id="1131" w:name="_Toc297123564"/>
      <w:bookmarkStart w:id="1132" w:name="_Toc303539172"/>
      <w:bookmarkStart w:id="1133" w:name="_Toc297216223"/>
      <w:bookmarkStart w:id="1134" w:name="_Toc297048405"/>
      <w:r>
        <w:rPr>
          <w:rFonts w:hint="eastAsia" w:ascii="宋体" w:hAnsi="宋体" w:cs="宋体"/>
          <w:b/>
          <w:color w:val="000000"/>
          <w:szCs w:val="21"/>
          <w:highlight w:val="white"/>
        </w:rPr>
        <w:t>13. 验收和工程试车</w:t>
      </w:r>
      <w:bookmarkEnd w:id="1113"/>
      <w:bookmarkEnd w:id="1114"/>
      <w:bookmarkEnd w:id="1115"/>
      <w:bookmarkEnd w:id="1116"/>
      <w:bookmarkEnd w:id="1117"/>
      <w:bookmarkEnd w:id="1118"/>
    </w:p>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13.1 分部分项工程验收</w:t>
      </w:r>
    </w:p>
    <w:p>
      <w:pPr>
        <w:spacing w:line="360" w:lineRule="auto"/>
        <w:ind w:firstLine="420" w:firstLineChars="200"/>
        <w:jc w:val="left"/>
        <w:rPr>
          <w:rFonts w:hint="eastAsia" w:ascii="宋体" w:hAnsi="宋体" w:cs="宋体"/>
          <w:szCs w:val="21"/>
        </w:rPr>
      </w:pPr>
      <w:r>
        <w:rPr>
          <w:rFonts w:hint="eastAsia" w:ascii="宋体" w:hAnsi="宋体" w:cs="宋体"/>
          <w:szCs w:val="21"/>
        </w:rPr>
        <w:t>13.1.2监理人不能按时进行验收时，应提前</w:t>
      </w:r>
      <w:r>
        <w:rPr>
          <w:rFonts w:hint="eastAsia" w:ascii="宋体" w:hAnsi="宋体" w:cs="宋体"/>
          <w:szCs w:val="21"/>
          <w:u w:val="single"/>
        </w:rPr>
        <w:t xml:space="preserve"> </w:t>
      </w:r>
      <w:r>
        <w:rPr>
          <w:rFonts w:hint="eastAsia" w:ascii="宋体" w:hAnsi="宋体" w:cs="宋体"/>
          <w:szCs w:val="21"/>
          <w:u w:val="single"/>
          <w:lang w:val="en-US" w:eastAsia="zh-CN"/>
        </w:rPr>
        <w:t>24</w:t>
      </w:r>
      <w:r>
        <w:rPr>
          <w:rFonts w:hint="eastAsia" w:ascii="宋体" w:hAnsi="宋体" w:cs="宋体"/>
          <w:szCs w:val="21"/>
          <w:u w:val="single"/>
        </w:rPr>
        <w:t xml:space="preserve"> </w:t>
      </w:r>
      <w:r>
        <w:rPr>
          <w:rFonts w:hint="eastAsia" w:ascii="宋体" w:hAnsi="宋体" w:cs="宋体"/>
          <w:szCs w:val="21"/>
        </w:rPr>
        <w:t>小时提交书面延期要求。</w:t>
      </w:r>
    </w:p>
    <w:p>
      <w:pPr>
        <w:spacing w:line="360" w:lineRule="auto"/>
        <w:ind w:firstLine="420" w:firstLineChars="200"/>
        <w:jc w:val="left"/>
        <w:rPr>
          <w:rFonts w:hint="eastAsia" w:ascii="宋体" w:hAnsi="宋体" w:cs="宋体"/>
          <w:b/>
          <w:szCs w:val="21"/>
        </w:rPr>
      </w:pPr>
      <w:r>
        <w:rPr>
          <w:rFonts w:hint="eastAsia" w:ascii="宋体" w:hAnsi="宋体" w:cs="宋体"/>
          <w:szCs w:val="21"/>
        </w:rPr>
        <w:t>关于延期最长不得超过：</w:t>
      </w:r>
      <w:r>
        <w:rPr>
          <w:rFonts w:hint="eastAsia" w:ascii="宋体" w:hAnsi="宋体" w:cs="宋体"/>
          <w:szCs w:val="21"/>
          <w:u w:val="single"/>
        </w:rPr>
        <w:t xml:space="preserve">  </w:t>
      </w:r>
      <w:r>
        <w:rPr>
          <w:rFonts w:hint="eastAsia" w:ascii="宋体" w:hAnsi="宋体" w:cs="宋体"/>
          <w:szCs w:val="21"/>
          <w:u w:val="single"/>
          <w:lang w:val="en-US" w:eastAsia="zh-CN"/>
        </w:rPr>
        <w:t>48</w:t>
      </w:r>
      <w:r>
        <w:rPr>
          <w:rFonts w:hint="eastAsia" w:ascii="宋体" w:hAnsi="宋体" w:cs="宋体"/>
          <w:szCs w:val="21"/>
          <w:u w:val="single"/>
        </w:rPr>
        <w:t xml:space="preserve"> </w:t>
      </w:r>
      <w:r>
        <w:rPr>
          <w:rFonts w:hint="eastAsia" w:ascii="宋体" w:hAnsi="宋体" w:cs="宋体"/>
          <w:szCs w:val="21"/>
        </w:rPr>
        <w:t>小时。</w:t>
      </w:r>
    </w:p>
    <w:p>
      <w:pPr>
        <w:spacing w:line="360" w:lineRule="auto"/>
        <w:ind w:firstLine="420" w:firstLineChars="200"/>
        <w:rPr>
          <w:rFonts w:hint="eastAsia" w:ascii="宋体" w:hAnsi="宋体" w:cs="宋体"/>
          <w:szCs w:val="21"/>
        </w:rPr>
      </w:pPr>
      <w:bookmarkStart w:id="1135" w:name="_Toc292559428"/>
      <w:bookmarkStart w:id="1136" w:name="_Toc312678056"/>
      <w:bookmarkStart w:id="1137" w:name="_Toc300935016"/>
      <w:bookmarkStart w:id="1138" w:name="_Toc292559933"/>
      <w:bookmarkStart w:id="1139" w:name="_Toc297048409"/>
      <w:bookmarkStart w:id="1140" w:name="_Toc304295596"/>
      <w:bookmarkStart w:id="1141" w:name="_Toc296891263"/>
      <w:bookmarkStart w:id="1142" w:name="_Toc296346724"/>
      <w:bookmarkStart w:id="1143" w:name="_Toc297120523"/>
      <w:bookmarkStart w:id="1144" w:name="_Toc296891051"/>
      <w:bookmarkStart w:id="1145" w:name="_Toc303539173"/>
      <w:bookmarkStart w:id="1146" w:name="_Toc297123565"/>
      <w:bookmarkStart w:id="1147" w:name="_Toc296347222"/>
      <w:bookmarkStart w:id="1148" w:name="_Toc296944562"/>
      <w:bookmarkStart w:id="1149" w:name="_Toc297216224"/>
      <w:bookmarkStart w:id="1150" w:name="_Toc296503223"/>
      <w:bookmarkStart w:id="1151" w:name="_Toc267251470"/>
      <w:bookmarkStart w:id="1152" w:name="_Toc267251475"/>
      <w:bookmarkStart w:id="1153" w:name="_Toc267251471"/>
      <w:bookmarkStart w:id="1154" w:name="_Toc267251474"/>
      <w:bookmarkStart w:id="1155" w:name="_Toc267251473"/>
      <w:bookmarkStart w:id="1156" w:name="_Toc267251472"/>
      <w:bookmarkStart w:id="1157" w:name="_Toc267251476"/>
      <w:r>
        <w:rPr>
          <w:rFonts w:hint="eastAsia" w:ascii="宋体" w:hAnsi="宋体" w:cs="宋体"/>
          <w:color w:val="000000"/>
          <w:szCs w:val="21"/>
          <w:highlight w:val="white"/>
        </w:rPr>
        <w:t>13.2 竣工验收</w:t>
      </w:r>
    </w:p>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Pr>
        <w:spacing w:line="360" w:lineRule="auto"/>
        <w:ind w:firstLine="420" w:firstLineChars="200"/>
        <w:jc w:val="left"/>
        <w:rPr>
          <w:rFonts w:hint="eastAsia" w:ascii="宋体" w:hAnsi="宋体" w:cs="宋体"/>
          <w:color w:val="000000"/>
          <w:szCs w:val="21"/>
        </w:rPr>
      </w:pPr>
      <w:bookmarkStart w:id="1158" w:name="_Toc280868704"/>
      <w:bookmarkStart w:id="1159" w:name="_Toc280868705"/>
      <w:bookmarkStart w:id="1160" w:name="_Toc280868706"/>
      <w:bookmarkStart w:id="1161" w:name="_Toc280868707"/>
      <w:bookmarkStart w:id="1162" w:name="_Toc280868708"/>
      <w:bookmarkStart w:id="1163" w:name="_Toc280868709"/>
      <w:r>
        <w:rPr>
          <w:rFonts w:hint="eastAsia" w:ascii="宋体" w:hAnsi="宋体" w:cs="宋体"/>
          <w:color w:val="000000"/>
          <w:szCs w:val="21"/>
          <w:highlight w:val="white"/>
        </w:rPr>
        <w:t>13.2.2竣工验收程序</w:t>
      </w:r>
    </w:p>
    <w:bookmarkEnd w:id="1158"/>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kern w:val="0"/>
          <w:szCs w:val="21"/>
          <w:highlight w:val="white"/>
        </w:rPr>
        <w:t>关于竣工验收程序的约定：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按相关规定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发包人不按照本项约定组织竣工验收、颁发工程接收证书的违约金的计算方法：</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无</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bookmarkEnd w:id="1159"/>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13.2.5移交、接收全部与部分工程</w:t>
      </w:r>
    </w:p>
    <w:bookmarkEnd w:id="1160"/>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承包人向发包人移交工程的期限：</w:t>
      </w:r>
      <w:r>
        <w:rPr>
          <w:rFonts w:hint="eastAsia" w:ascii="宋体" w:hAnsi="宋体" w:cs="宋体"/>
          <w:color w:val="000000"/>
          <w:szCs w:val="21"/>
          <w:highlight w:val="white"/>
          <w:u w:val="single"/>
        </w:rPr>
        <w:t xml:space="preserve"> 竣工验收合格后7天内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u w:val="single"/>
        </w:rPr>
      </w:pPr>
      <w:r>
        <w:rPr>
          <w:rFonts w:hint="eastAsia" w:ascii="宋体" w:hAnsi="宋体" w:cs="宋体"/>
          <w:color w:val="000000"/>
          <w:kern w:val="0"/>
          <w:szCs w:val="21"/>
          <w:highlight w:val="white"/>
        </w:rPr>
        <w:t>发包人未按本合同约定接收全部或部分工程的，违约金的计算方法为：</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无</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bookmarkEnd w:id="1161"/>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承包人未按时移交工程的，违约金的计算方法为：</w:t>
      </w:r>
      <w:r>
        <w:rPr>
          <w:rFonts w:hint="eastAsia" w:ascii="宋体" w:hAnsi="宋体" w:cs="宋体"/>
          <w:color w:val="000000"/>
          <w:szCs w:val="21"/>
          <w:highlight w:val="white"/>
          <w:u w:val="single"/>
        </w:rPr>
        <w:t xml:space="preserve"> 每天1000元 </w:t>
      </w:r>
      <w:r>
        <w:rPr>
          <w:rFonts w:hint="eastAsia" w:ascii="宋体" w:hAnsi="宋体" w:cs="宋体"/>
          <w:color w:val="000000"/>
          <w:szCs w:val="21"/>
          <w:highlight w:val="white"/>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highlight w:val="white"/>
        </w:rPr>
        <w:t>13.3 工程试车</w:t>
      </w:r>
    </w:p>
    <w:bookmarkEnd w:id="1162"/>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13.3.1 试车程序</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工程试车内容：</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（1）单机无负荷试车费用由</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kern w:val="0"/>
          <w:szCs w:val="21"/>
          <w:highlight w:val="white"/>
        </w:rPr>
        <w:t>承担；</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（2）无负荷联动试车费用由</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kern w:val="0"/>
          <w:szCs w:val="21"/>
          <w:highlight w:val="white"/>
        </w:rPr>
        <w:t>承担。</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13.3.3 投料试车</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关于投料试车相关事项的约定：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highlight w:val="white"/>
        </w:rPr>
        <w:t>13.6 竣工退场</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13.6.1 竣工退场</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承包人完成竣工退场的期限：</w:t>
      </w:r>
      <w:r>
        <w:rPr>
          <w:rFonts w:hint="eastAsia" w:ascii="宋体" w:hAnsi="宋体" w:cs="宋体"/>
          <w:color w:val="000000"/>
          <w:szCs w:val="21"/>
          <w:highlight w:val="white"/>
          <w:u w:val="single"/>
        </w:rPr>
        <w:t xml:space="preserve"> 竣工验收后</w:t>
      </w:r>
      <w:r>
        <w:rPr>
          <w:rFonts w:hint="eastAsia" w:ascii="宋体" w:hAnsi="宋体" w:cs="宋体"/>
          <w:color w:val="000000"/>
          <w:szCs w:val="21"/>
          <w:highlight w:val="white"/>
          <w:u w:val="single"/>
          <w:lang w:val="en-US" w:eastAsia="zh-CN"/>
        </w:rPr>
        <w:t>20</w:t>
      </w:r>
      <w:r>
        <w:rPr>
          <w:rFonts w:hint="eastAsia" w:ascii="宋体" w:hAnsi="宋体" w:cs="宋体"/>
          <w:color w:val="000000"/>
          <w:szCs w:val="21"/>
          <w:highlight w:val="white"/>
          <w:u w:val="single"/>
        </w:rPr>
        <w:t xml:space="preserve">天内 </w:t>
      </w:r>
      <w:r>
        <w:rPr>
          <w:rFonts w:hint="eastAsia" w:ascii="宋体" w:hAnsi="宋体" w:cs="宋体"/>
          <w:color w:val="000000"/>
          <w:kern w:val="0"/>
          <w:szCs w:val="21"/>
          <w:highlight w:val="white"/>
        </w:rPr>
        <w:t>。</w:t>
      </w:r>
    </w:p>
    <w:p>
      <w:pPr>
        <w:spacing w:line="360" w:lineRule="auto"/>
        <w:rPr>
          <w:rFonts w:hint="eastAsia" w:ascii="宋体" w:hAnsi="宋体" w:cs="宋体"/>
          <w:b/>
          <w:color w:val="000000"/>
          <w:szCs w:val="21"/>
        </w:rPr>
      </w:pPr>
      <w:bookmarkStart w:id="1164" w:name="_Toc393093294"/>
      <w:bookmarkStart w:id="1165" w:name="_Toc392078600"/>
      <w:bookmarkStart w:id="1166" w:name="_Toc351203646"/>
      <w:bookmarkStart w:id="1167" w:name="_Toc394329423"/>
      <w:bookmarkStart w:id="1168" w:name="_Toc389066726"/>
      <w:bookmarkStart w:id="1169" w:name="_Toc389146893"/>
      <w:r>
        <w:rPr>
          <w:rFonts w:hint="eastAsia" w:ascii="宋体" w:hAnsi="宋体" w:cs="宋体"/>
          <w:b/>
          <w:color w:val="000000"/>
          <w:szCs w:val="21"/>
          <w:highlight w:val="white"/>
        </w:rPr>
        <w:t>14. 竣工结算</w:t>
      </w:r>
      <w:bookmarkEnd w:id="1164"/>
      <w:bookmarkEnd w:id="1165"/>
      <w:bookmarkEnd w:id="1166"/>
      <w:bookmarkEnd w:id="1167"/>
      <w:bookmarkEnd w:id="1168"/>
      <w:bookmarkEnd w:id="1169"/>
    </w:p>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14.1 竣工付款申请</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承包人提交竣工付款申请单的期限：</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按通用条款执行</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竣工付款申请单应包括的内容：</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按通用条款执行</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14.2 竣工结算审核</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发包人审批竣工付款申请单的期限：</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按通用条款执行</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发包人完成竣工付款的期限：</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工程验收合格且结算审核完成后</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关于竣工付款证书异议部分复核的方式和程序：</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按通用条款执行</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14.4 最终结清</w:t>
      </w:r>
    </w:p>
    <w:p>
      <w:pPr>
        <w:spacing w:line="360" w:lineRule="auto"/>
        <w:ind w:firstLine="420" w:firstLineChars="200"/>
        <w:jc w:val="left"/>
        <w:rPr>
          <w:rFonts w:hint="eastAsia" w:ascii="宋体" w:hAnsi="宋体" w:cs="宋体"/>
          <w:kern w:val="0"/>
          <w:szCs w:val="21"/>
        </w:rPr>
      </w:pPr>
      <w:r>
        <w:rPr>
          <w:rFonts w:hint="eastAsia" w:ascii="宋体" w:hAnsi="宋体" w:cs="宋体"/>
          <w:color w:val="000000"/>
          <w:kern w:val="0"/>
          <w:szCs w:val="21"/>
          <w:highlight w:val="white"/>
        </w:rPr>
        <w:t>14.4.1 最终结清申请单</w:t>
      </w:r>
    </w:p>
    <w:p>
      <w:pPr>
        <w:spacing w:line="360" w:lineRule="auto"/>
        <w:ind w:firstLine="420" w:firstLineChars="200"/>
        <w:jc w:val="left"/>
        <w:rPr>
          <w:rFonts w:hint="eastAsia" w:ascii="宋体" w:hAnsi="宋体" w:cs="宋体"/>
          <w:kern w:val="0"/>
          <w:szCs w:val="21"/>
        </w:rPr>
      </w:pPr>
      <w:r>
        <w:rPr>
          <w:rFonts w:hint="eastAsia" w:ascii="宋体" w:hAnsi="宋体" w:cs="宋体"/>
          <w:color w:val="000000"/>
          <w:kern w:val="0"/>
          <w:szCs w:val="21"/>
          <w:highlight w:val="white"/>
        </w:rPr>
        <w:t>承包人提交最终结清申请单的份数：</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叁</w:t>
      </w:r>
      <w:r>
        <w:rPr>
          <w:rFonts w:hint="eastAsia" w:ascii="宋体" w:hAnsi="宋体" w:cs="宋体"/>
          <w:color w:val="000000"/>
          <w:szCs w:val="21"/>
          <w:highlight w:val="white"/>
          <w:u w:val="single"/>
        </w:rPr>
        <w:t xml:space="preserve">份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szCs w:val="21"/>
        </w:rPr>
      </w:pPr>
      <w:r>
        <w:rPr>
          <w:rFonts w:hint="eastAsia" w:ascii="宋体" w:hAnsi="宋体" w:cs="宋体"/>
          <w:color w:val="000000"/>
          <w:kern w:val="0"/>
          <w:szCs w:val="21"/>
          <w:highlight w:val="white"/>
        </w:rPr>
        <w:t>承包人提交最终结算申请单的期限：</w:t>
      </w:r>
      <w:r>
        <w:rPr>
          <w:rFonts w:hint="eastAsia" w:ascii="宋体" w:hAnsi="宋体" w:cs="宋体"/>
          <w:color w:val="000000"/>
          <w:szCs w:val="21"/>
          <w:highlight w:val="white"/>
          <w:u w:val="single"/>
        </w:rPr>
        <w:t xml:space="preserve"> 缺陷责任期终止证书签发后的14天内 </w:t>
      </w:r>
      <w:r>
        <w:rPr>
          <w:rFonts w:hint="eastAsia" w:ascii="宋体" w:hAnsi="宋体" w:cs="宋体"/>
          <w:color w:val="000000"/>
          <w:szCs w:val="21"/>
          <w:highlight w:val="white"/>
        </w:rPr>
        <w:t xml:space="preserve">。 </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14.4.2 最终结清证书和支付</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（1）发包人完成最终结清申请单的审批并颁发最终结清证书的期限：</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按通用条款执行</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（2）发包人完成支付的期限：</w:t>
      </w:r>
      <w:r>
        <w:rPr>
          <w:rFonts w:hint="eastAsia" w:ascii="宋体" w:hAnsi="宋体" w:cs="宋体"/>
          <w:color w:val="000000"/>
          <w:szCs w:val="21"/>
          <w:highlight w:val="white"/>
          <w:u w:val="single"/>
        </w:rPr>
        <w:t xml:space="preserve"> 缺陷责任期满且办理质保期满验收手续，在扣除承包人应承担的保修费用后的</w:t>
      </w:r>
      <w:r>
        <w:rPr>
          <w:rFonts w:hint="eastAsia" w:ascii="宋体" w:hAnsi="宋体" w:cs="宋体"/>
          <w:color w:val="000000"/>
          <w:szCs w:val="21"/>
          <w:highlight w:val="white"/>
          <w:u w:val="single"/>
          <w:lang w:eastAsia="zh-CN"/>
        </w:rPr>
        <w:t>质保金</w:t>
      </w:r>
      <w:r>
        <w:rPr>
          <w:rFonts w:hint="eastAsia" w:ascii="宋体" w:hAnsi="宋体" w:cs="宋体"/>
          <w:color w:val="000000"/>
          <w:szCs w:val="21"/>
          <w:highlight w:val="white"/>
          <w:u w:val="single"/>
        </w:rPr>
        <w:t xml:space="preserve">余额无息付清 </w:t>
      </w:r>
      <w:r>
        <w:rPr>
          <w:rFonts w:hint="eastAsia" w:ascii="宋体" w:hAnsi="宋体" w:cs="宋体"/>
          <w:color w:val="000000"/>
          <w:szCs w:val="21"/>
          <w:highlight w:val="white"/>
        </w:rPr>
        <w:t>。</w:t>
      </w:r>
    </w:p>
    <w:bookmarkEnd w:id="1151"/>
    <w:bookmarkEnd w:id="1152"/>
    <w:bookmarkEnd w:id="1153"/>
    <w:bookmarkEnd w:id="1154"/>
    <w:bookmarkEnd w:id="1155"/>
    <w:bookmarkEnd w:id="1156"/>
    <w:bookmarkEnd w:id="1157"/>
    <w:bookmarkEnd w:id="1163"/>
    <w:p>
      <w:pPr>
        <w:spacing w:line="360" w:lineRule="auto"/>
        <w:rPr>
          <w:rFonts w:hint="eastAsia" w:ascii="宋体" w:hAnsi="宋体" w:cs="宋体"/>
          <w:b/>
          <w:color w:val="000000"/>
          <w:szCs w:val="21"/>
        </w:rPr>
      </w:pPr>
      <w:bookmarkStart w:id="1170" w:name="_Toc389066727"/>
      <w:bookmarkStart w:id="1171" w:name="_Toc394329424"/>
      <w:bookmarkStart w:id="1172" w:name="_Toc393093295"/>
      <w:bookmarkStart w:id="1173" w:name="_Toc392078601"/>
      <w:bookmarkStart w:id="1174" w:name="_Toc351203647"/>
      <w:bookmarkStart w:id="1175" w:name="_Toc389146894"/>
      <w:bookmarkStart w:id="1176" w:name="_Toc267251483"/>
      <w:bookmarkStart w:id="1177" w:name="_Toc267251484"/>
      <w:bookmarkStart w:id="1178" w:name="_Toc267251482"/>
      <w:bookmarkStart w:id="1179" w:name="_Toc267251485"/>
      <w:bookmarkStart w:id="1180" w:name="_Toc267251489"/>
      <w:bookmarkStart w:id="1181" w:name="_Toc267251486"/>
      <w:bookmarkStart w:id="1182" w:name="_Toc267251488"/>
      <w:bookmarkStart w:id="1183" w:name="_Toc267251490"/>
      <w:bookmarkStart w:id="1184" w:name="_Toc267251495"/>
      <w:bookmarkStart w:id="1185" w:name="_Toc267251494"/>
      <w:bookmarkStart w:id="1186" w:name="_Toc267251492"/>
      <w:bookmarkStart w:id="1187" w:name="_Toc267251496"/>
      <w:bookmarkStart w:id="1188" w:name="_Toc267251493"/>
      <w:bookmarkStart w:id="1189" w:name="_Toc267251497"/>
      <w:bookmarkStart w:id="1190" w:name="_Toc267251498"/>
      <w:bookmarkStart w:id="1191" w:name="_Toc267251501"/>
      <w:bookmarkStart w:id="1192" w:name="_Toc267251491"/>
      <w:bookmarkStart w:id="1193" w:name="_Toc267251503"/>
      <w:bookmarkStart w:id="1194" w:name="_Toc267251502"/>
      <w:bookmarkStart w:id="1195" w:name="_Toc267251499"/>
      <w:bookmarkStart w:id="1196" w:name="_Toc267251506"/>
      <w:bookmarkStart w:id="1197" w:name="_Toc267251504"/>
      <w:bookmarkStart w:id="1198" w:name="_Toc267251507"/>
      <w:bookmarkStart w:id="1199" w:name="_Toc267251508"/>
      <w:bookmarkStart w:id="1200" w:name="_Toc267251511"/>
      <w:bookmarkStart w:id="1201" w:name="_Toc267251513"/>
      <w:bookmarkStart w:id="1202" w:name="_Toc267251510"/>
      <w:bookmarkStart w:id="1203" w:name="_Toc267251509"/>
      <w:bookmarkStart w:id="1204" w:name="_Toc267251515"/>
      <w:bookmarkStart w:id="1205" w:name="_Toc267251514"/>
      <w:r>
        <w:rPr>
          <w:rFonts w:hint="eastAsia" w:ascii="宋体" w:hAnsi="宋体" w:cs="宋体"/>
          <w:b/>
          <w:color w:val="000000"/>
          <w:szCs w:val="21"/>
          <w:highlight w:val="white"/>
        </w:rPr>
        <w:t>15. 缺陷责任期与保修</w:t>
      </w:r>
      <w:bookmarkEnd w:id="1170"/>
      <w:bookmarkEnd w:id="1171"/>
      <w:bookmarkEnd w:id="1172"/>
      <w:bookmarkEnd w:id="1173"/>
      <w:bookmarkEnd w:id="1174"/>
      <w:bookmarkEnd w:id="1175"/>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highlight w:val="white"/>
        </w:rPr>
        <w:t>15.2缺陷责任期</w:t>
      </w:r>
      <w:bookmarkEnd w:id="1176"/>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缺陷责任期的具体期限：</w:t>
      </w:r>
      <w:r>
        <w:rPr>
          <w:rFonts w:hint="eastAsia" w:ascii="宋体" w:hAnsi="宋体" w:cs="宋体"/>
          <w:color w:val="000000"/>
          <w:szCs w:val="21"/>
          <w:highlight w:val="white"/>
          <w:u w:val="single"/>
        </w:rPr>
        <w:t xml:space="preserve"> 自工程竣工验收合格之日起</w:t>
      </w:r>
      <w:r>
        <w:rPr>
          <w:rFonts w:hint="eastAsia" w:ascii="宋体" w:hAnsi="宋体" w:cs="宋体"/>
          <w:color w:val="000000"/>
          <w:szCs w:val="21"/>
          <w:highlight w:val="white"/>
          <w:u w:val="single"/>
          <w:lang w:eastAsia="zh-CN"/>
        </w:rPr>
        <w:t>一年</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15.3 质量保证金</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关于是否扣留质量保证金的约定：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是</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15.3.1 承包人提供质量保证金的方式</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highlight w:val="white"/>
        </w:rPr>
        <w:t>质量保证金采用以下第</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w:t>
      </w:r>
      <w:r>
        <w:rPr>
          <w:rFonts w:hint="eastAsia" w:ascii="宋体" w:hAnsi="宋体" w:cs="宋体"/>
          <w:color w:val="000000"/>
          <w:szCs w:val="21"/>
          <w:highlight w:val="white"/>
          <w:u w:val="single"/>
          <w:lang w:val="en-US" w:eastAsia="zh-CN"/>
        </w:rPr>
        <w:t>2</w:t>
      </w:r>
      <w:r>
        <w:rPr>
          <w:rFonts w:hint="eastAsia" w:ascii="宋体" w:hAnsi="宋体" w:cs="宋体"/>
          <w:color w:val="000000"/>
          <w:szCs w:val="21"/>
          <w:highlight w:val="white"/>
          <w:u w:val="single"/>
          <w:lang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种方式：</w:t>
      </w:r>
    </w:p>
    <w:p>
      <w:pPr>
        <w:autoSpaceDE w:val="0"/>
        <w:autoSpaceDN w:val="0"/>
        <w:adjustRightInd w:val="0"/>
        <w:spacing w:line="360" w:lineRule="auto"/>
        <w:ind w:firstLine="420" w:firstLineChars="200"/>
        <w:jc w:val="left"/>
        <w:rPr>
          <w:rFonts w:hint="eastAsia" w:ascii="宋体" w:hAnsi="宋体" w:cs="宋体"/>
          <w:kern w:val="0"/>
          <w:szCs w:val="21"/>
        </w:rPr>
      </w:pPr>
      <w:r>
        <w:rPr>
          <w:rFonts w:hint="eastAsia" w:ascii="宋体" w:hAnsi="宋体" w:cs="宋体"/>
          <w:color w:val="000000"/>
          <w:kern w:val="0"/>
          <w:szCs w:val="21"/>
          <w:highlight w:val="white"/>
        </w:rPr>
        <w:t>（1）质量保证金保函，保证金额为：</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kern w:val="0"/>
          <w:szCs w:val="21"/>
          <w:highlight w:val="white"/>
        </w:rPr>
        <w:t xml:space="preserve">； </w:t>
      </w:r>
    </w:p>
    <w:p>
      <w:pPr>
        <w:autoSpaceDE w:val="0"/>
        <w:autoSpaceDN w:val="0"/>
        <w:adjustRightInd w:val="0"/>
        <w:spacing w:line="360" w:lineRule="auto"/>
        <w:ind w:firstLine="420" w:firstLineChars="200"/>
        <w:jc w:val="left"/>
        <w:rPr>
          <w:rFonts w:hint="eastAsia" w:ascii="宋体" w:hAnsi="宋体" w:cs="宋体"/>
          <w:kern w:val="0"/>
          <w:szCs w:val="21"/>
        </w:rPr>
      </w:pPr>
      <w:r>
        <w:rPr>
          <w:rFonts w:hint="eastAsia" w:ascii="宋体" w:hAnsi="宋体" w:cs="宋体"/>
          <w:color w:val="000000"/>
          <w:kern w:val="0"/>
          <w:szCs w:val="21"/>
          <w:highlight w:val="white"/>
        </w:rPr>
        <w:t>（2）</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3</w:t>
      </w:r>
      <w:r>
        <w:rPr>
          <w:rFonts w:hint="eastAsia" w:ascii="宋体" w:hAnsi="宋体" w:cs="宋体"/>
          <w:color w:val="000000"/>
          <w:szCs w:val="21"/>
          <w:highlight w:val="white"/>
          <w:u w:val="single"/>
        </w:rPr>
        <w:t xml:space="preserve"> </w:t>
      </w:r>
      <w:r>
        <w:rPr>
          <w:rFonts w:hint="eastAsia" w:ascii="宋体" w:hAnsi="宋体" w:cs="宋体"/>
          <w:color w:val="000000"/>
          <w:kern w:val="0"/>
          <w:szCs w:val="21"/>
          <w:highlight w:val="white"/>
        </w:rPr>
        <w:t xml:space="preserve"> %的工程款；</w:t>
      </w:r>
    </w:p>
    <w:p>
      <w:pPr>
        <w:autoSpaceDE w:val="0"/>
        <w:autoSpaceDN w:val="0"/>
        <w:adjustRightInd w:val="0"/>
        <w:spacing w:line="360" w:lineRule="auto"/>
        <w:ind w:firstLine="420" w:firstLineChars="200"/>
        <w:jc w:val="left"/>
        <w:rPr>
          <w:rFonts w:hint="eastAsia" w:ascii="宋体" w:hAnsi="宋体" w:cs="宋体"/>
          <w:kern w:val="0"/>
          <w:szCs w:val="21"/>
        </w:rPr>
      </w:pPr>
      <w:r>
        <w:rPr>
          <w:rFonts w:hint="eastAsia" w:ascii="宋体" w:hAnsi="宋体" w:cs="宋体"/>
          <w:color w:val="000000"/>
          <w:kern w:val="0"/>
          <w:szCs w:val="21"/>
          <w:highlight w:val="white"/>
        </w:rPr>
        <w:t>（3）其他方式:</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kern w:val="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 xml:space="preserve">15.3.2 质量保证金的扣留 </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质量保证金的扣留采取以下第</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w:t>
      </w:r>
      <w:r>
        <w:rPr>
          <w:rFonts w:hint="eastAsia" w:ascii="宋体" w:hAnsi="宋体" w:cs="宋体"/>
          <w:color w:val="000000"/>
          <w:szCs w:val="21"/>
          <w:highlight w:val="white"/>
          <w:u w:val="single"/>
          <w:lang w:val="en-US" w:eastAsia="zh-CN"/>
        </w:rPr>
        <w:t>2</w:t>
      </w:r>
      <w:r>
        <w:rPr>
          <w:rFonts w:hint="eastAsia" w:ascii="宋体" w:hAnsi="宋体" w:cs="宋体"/>
          <w:color w:val="000000"/>
          <w:szCs w:val="21"/>
          <w:highlight w:val="white"/>
          <w:u w:val="single"/>
          <w:lang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种方式：</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（1）在支付工程进度款时逐次扣留，在此情形下，质量保证金的计算基数不包括预付款的支付、扣回以及价格调整的金额；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（2）工程竣工结算时一次性扣留质量保证金；</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（3）其他扣留方式:</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kern w:val="0"/>
          <w:szCs w:val="21"/>
          <w:highlight w:val="white"/>
        </w:rPr>
        <w:t>。</w:t>
      </w:r>
    </w:p>
    <w:p>
      <w:pPr>
        <w:spacing w:line="360" w:lineRule="auto"/>
        <w:jc w:val="left"/>
        <w:rPr>
          <w:rFonts w:hint="eastAsia" w:ascii="宋体" w:hAnsi="宋体" w:cs="宋体"/>
          <w:color w:val="000000"/>
          <w:szCs w:val="21"/>
        </w:rPr>
      </w:pPr>
      <w:r>
        <w:rPr>
          <w:rFonts w:hint="eastAsia" w:ascii="宋体" w:hAnsi="宋体" w:cs="宋体"/>
          <w:color w:val="000000"/>
          <w:szCs w:val="21"/>
          <w:highlight w:val="white"/>
        </w:rPr>
        <w:t>关于质量保证金的补充约定：</w:t>
      </w:r>
      <w:r>
        <w:rPr>
          <w:rFonts w:hint="eastAsia" w:ascii="宋体" w:hAnsi="宋体" w:cs="宋体"/>
          <w:bCs/>
          <w:color w:val="000000"/>
          <w:szCs w:val="21"/>
          <w:highlight w:val="white"/>
        </w:rPr>
        <w:t>验收合格交付使用满1年后</w:t>
      </w:r>
      <w:r>
        <w:rPr>
          <w:rFonts w:hint="eastAsia" w:ascii="宋体" w:hAnsi="宋体" w:cs="宋体"/>
          <w:color w:val="000000"/>
          <w:szCs w:val="21"/>
          <w:highlight w:val="white"/>
        </w:rPr>
        <w:t>由采购人</w:t>
      </w:r>
      <w:r>
        <w:rPr>
          <w:rFonts w:hint="eastAsia" w:ascii="宋体" w:hAnsi="宋体" w:cs="宋体"/>
          <w:bCs/>
          <w:color w:val="000000"/>
          <w:szCs w:val="21"/>
          <w:highlight w:val="white"/>
        </w:rPr>
        <w:t>支付项目余款。</w:t>
      </w:r>
    </w:p>
    <w:bookmarkEnd w:id="1177"/>
    <w:bookmarkEnd w:id="1178"/>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highlight w:val="white"/>
        </w:rPr>
        <w:t>15.4保修</w:t>
      </w:r>
    </w:p>
    <w:bookmarkEnd w:id="1179"/>
    <w:p>
      <w:pPr>
        <w:spacing w:line="360" w:lineRule="auto"/>
        <w:ind w:firstLine="409" w:firstLineChars="195"/>
        <w:jc w:val="left"/>
        <w:rPr>
          <w:rFonts w:hint="eastAsia" w:ascii="宋体" w:hAnsi="宋体" w:cs="宋体"/>
          <w:color w:val="000000"/>
          <w:szCs w:val="21"/>
        </w:rPr>
      </w:pPr>
      <w:r>
        <w:rPr>
          <w:rFonts w:hint="eastAsia" w:ascii="宋体" w:hAnsi="宋体" w:cs="宋体"/>
          <w:color w:val="000000"/>
          <w:szCs w:val="21"/>
          <w:highlight w:val="white"/>
        </w:rPr>
        <w:t>15.4.1 保修责任</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根据《中华人民共和国建筑法》、《建设工程质量管理条例》和《房屋建筑工程质量保修办法》，在正常使用下，房屋建筑工程的最低保修期限为：</w:t>
      </w:r>
    </w:p>
    <w:p>
      <w:pPr>
        <w:numPr>
          <w:ilvl w:val="0"/>
          <w:numId w:val="19"/>
        </w:numPr>
        <w:spacing w:line="360" w:lineRule="auto"/>
        <w:rPr>
          <w:rFonts w:hint="eastAsia" w:ascii="宋体" w:hAnsi="宋体" w:cs="宋体"/>
          <w:bCs/>
          <w:szCs w:val="21"/>
        </w:rPr>
      </w:pPr>
      <w:r>
        <w:rPr>
          <w:rFonts w:hint="eastAsia" w:ascii="宋体" w:hAnsi="宋体" w:cs="宋体"/>
          <w:bCs/>
          <w:color w:val="000000"/>
          <w:szCs w:val="21"/>
          <w:highlight w:val="white"/>
        </w:rPr>
        <w:t>地基基础和</w:t>
      </w:r>
      <w:r>
        <w:rPr>
          <w:rFonts w:hint="eastAsia" w:ascii="宋体" w:hAnsi="宋体" w:cs="宋体"/>
          <w:szCs w:val="21"/>
        </w:rPr>
        <w:fldChar w:fldCharType="begin"/>
      </w:r>
      <w:r>
        <w:rPr>
          <w:rFonts w:hint="eastAsia" w:ascii="宋体" w:hAnsi="宋体" w:cs="宋体"/>
          <w:color w:val="000000"/>
          <w:szCs w:val="21"/>
          <w:highlight w:val="white"/>
        </w:rPr>
        <w:instrText xml:space="preserve"> HYPERLINK "http://baike.baidu.com/view/3930570.htm" \t "_blank" </w:instrText>
      </w:r>
      <w:r>
        <w:rPr>
          <w:rFonts w:hint="eastAsia" w:ascii="宋体" w:hAnsi="宋体" w:cs="宋体"/>
          <w:szCs w:val="21"/>
        </w:rPr>
        <w:fldChar w:fldCharType="separate"/>
      </w:r>
      <w:r>
        <w:rPr>
          <w:rStyle w:val="27"/>
          <w:rFonts w:hint="eastAsia" w:ascii="宋体" w:hAnsi="宋体" w:cs="宋体"/>
          <w:bCs/>
          <w:color w:val="000000"/>
          <w:szCs w:val="21"/>
          <w:highlight w:val="white"/>
        </w:rPr>
        <w:t>主体结构工程</w:t>
      </w:r>
      <w:r>
        <w:rPr>
          <w:rFonts w:hint="eastAsia" w:ascii="宋体" w:hAnsi="宋体" w:cs="宋体"/>
          <w:szCs w:val="21"/>
        </w:rPr>
        <w:fldChar w:fldCharType="end"/>
      </w:r>
      <w:r>
        <w:rPr>
          <w:rFonts w:hint="eastAsia" w:ascii="宋体" w:hAnsi="宋体" w:cs="宋体"/>
          <w:bCs/>
          <w:color w:val="000000"/>
          <w:szCs w:val="21"/>
          <w:highlight w:val="white"/>
        </w:rPr>
        <w:t>，为设计文件规定的该工程的合理使用年限；</w:t>
      </w:r>
    </w:p>
    <w:p>
      <w:pPr>
        <w:numPr>
          <w:ilvl w:val="0"/>
          <w:numId w:val="19"/>
        </w:numPr>
        <w:spacing w:line="360" w:lineRule="auto"/>
        <w:rPr>
          <w:rFonts w:hint="eastAsia" w:ascii="宋体" w:hAnsi="宋体" w:cs="宋体"/>
          <w:bCs/>
          <w:szCs w:val="21"/>
        </w:rPr>
      </w:pPr>
      <w:r>
        <w:rPr>
          <w:rFonts w:hint="eastAsia" w:ascii="宋体" w:hAnsi="宋体" w:cs="宋体"/>
          <w:bCs/>
          <w:color w:val="000000"/>
          <w:szCs w:val="21"/>
          <w:highlight w:val="white"/>
        </w:rPr>
        <w:t>有防水要求的卫生间、房间的防渗漏，为5年；</w:t>
      </w:r>
    </w:p>
    <w:p>
      <w:pPr>
        <w:numPr>
          <w:ilvl w:val="0"/>
          <w:numId w:val="19"/>
        </w:numPr>
        <w:spacing w:line="360" w:lineRule="auto"/>
        <w:rPr>
          <w:rFonts w:hint="eastAsia" w:ascii="宋体" w:hAnsi="宋体" w:cs="宋体"/>
          <w:bCs/>
          <w:szCs w:val="21"/>
        </w:rPr>
      </w:pPr>
      <w:r>
        <w:rPr>
          <w:rFonts w:hint="eastAsia" w:ascii="宋体" w:hAnsi="宋体" w:cs="宋体"/>
          <w:bCs/>
          <w:color w:val="000000"/>
          <w:szCs w:val="21"/>
          <w:highlight w:val="white"/>
        </w:rPr>
        <w:t>装修及机电安装工程为2年。</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保修期内，在非人为因素情况下，设备、产品及整体工程出现任何质量问题，由承包人负责及时处理和免费维护、维修，一切维修换件和备品备件（含所有零配件及耗材）均由承包人免费提供。保修期内，如工程因非人为因素出现故障而造成短期停用时，则保修期相应延迟。如工程因自身故障致停用时间累计超过20天时，则保修期在状态恢复时归零重新计算。保修期内发包人对承包人享有追索权。</w:t>
      </w:r>
    </w:p>
    <w:p>
      <w:pPr>
        <w:spacing w:line="360" w:lineRule="auto"/>
        <w:ind w:firstLine="409" w:firstLineChars="195"/>
        <w:jc w:val="left"/>
        <w:rPr>
          <w:rFonts w:hint="eastAsia" w:ascii="宋体" w:hAnsi="宋体" w:cs="宋体"/>
          <w:color w:val="000000"/>
          <w:szCs w:val="21"/>
        </w:rPr>
      </w:pPr>
      <w:r>
        <w:rPr>
          <w:rFonts w:hint="eastAsia" w:ascii="宋体" w:hAnsi="宋体" w:cs="宋体"/>
          <w:color w:val="000000"/>
          <w:szCs w:val="21"/>
          <w:highlight w:val="white"/>
        </w:rPr>
        <w:t>15.4.3 修复通知</w:t>
      </w:r>
    </w:p>
    <w:p>
      <w:pPr>
        <w:spacing w:line="360" w:lineRule="auto"/>
        <w:ind w:firstLine="409" w:firstLineChars="195"/>
        <w:jc w:val="left"/>
        <w:rPr>
          <w:rFonts w:hint="eastAsia" w:ascii="宋体" w:hAnsi="宋体" w:cs="宋体"/>
          <w:color w:val="000000"/>
          <w:kern w:val="0"/>
          <w:szCs w:val="21"/>
        </w:rPr>
      </w:pPr>
      <w:r>
        <w:rPr>
          <w:rFonts w:hint="eastAsia" w:ascii="宋体" w:hAnsi="宋体" w:cs="宋体"/>
          <w:color w:val="000000"/>
          <w:kern w:val="0"/>
          <w:szCs w:val="21"/>
          <w:highlight w:val="white"/>
        </w:rPr>
        <w:t>承包人收到保修通知并到达工程现场的合理时间：</w:t>
      </w:r>
      <w:r>
        <w:rPr>
          <w:rFonts w:hint="eastAsia" w:ascii="宋体" w:hAnsi="宋体" w:cs="宋体"/>
          <w:color w:val="000000"/>
          <w:kern w:val="0"/>
          <w:szCs w:val="21"/>
          <w:highlight w:val="white"/>
          <w:u w:val="single"/>
        </w:rPr>
        <w:t xml:space="preserve"> 24小时内到场处理 </w:t>
      </w:r>
      <w:r>
        <w:rPr>
          <w:rFonts w:hint="eastAsia" w:ascii="宋体" w:hAnsi="宋体" w:cs="宋体"/>
          <w:color w:val="000000"/>
          <w:kern w:val="0"/>
          <w:szCs w:val="21"/>
          <w:highlight w:val="white"/>
        </w:rPr>
        <w:t>。</w:t>
      </w:r>
    </w:p>
    <w:bookmarkEnd w:id="1180"/>
    <w:bookmarkEnd w:id="1181"/>
    <w:bookmarkEnd w:id="1182"/>
    <w:bookmarkEnd w:id="1183"/>
    <w:p>
      <w:pPr>
        <w:spacing w:line="360" w:lineRule="auto"/>
        <w:rPr>
          <w:rFonts w:hint="eastAsia" w:ascii="宋体" w:hAnsi="宋体" w:cs="宋体"/>
          <w:b/>
          <w:color w:val="000000"/>
          <w:szCs w:val="21"/>
        </w:rPr>
      </w:pPr>
      <w:bookmarkStart w:id="1206" w:name="_Toc392078602"/>
      <w:bookmarkStart w:id="1207" w:name="_Toc351203648"/>
      <w:bookmarkStart w:id="1208" w:name="_Toc393093296"/>
      <w:bookmarkStart w:id="1209" w:name="_Toc394329425"/>
      <w:bookmarkStart w:id="1210" w:name="_Toc389146895"/>
      <w:bookmarkStart w:id="1211" w:name="_Toc389066728"/>
      <w:bookmarkStart w:id="1212" w:name="_Toc280868717"/>
      <w:bookmarkStart w:id="1213" w:name="_Toc280868718"/>
      <w:r>
        <w:rPr>
          <w:rFonts w:hint="eastAsia" w:ascii="宋体" w:hAnsi="宋体" w:cs="宋体"/>
          <w:b/>
          <w:bCs/>
          <w:color w:val="000000"/>
          <w:szCs w:val="21"/>
          <w:highlight w:val="white"/>
        </w:rPr>
        <w:t>16</w:t>
      </w:r>
      <w:r>
        <w:rPr>
          <w:rFonts w:hint="eastAsia" w:ascii="宋体" w:hAnsi="宋体" w:cs="宋体"/>
          <w:b/>
          <w:color w:val="000000"/>
          <w:szCs w:val="21"/>
          <w:highlight w:val="white"/>
        </w:rPr>
        <w:t>. 违约</w:t>
      </w:r>
      <w:bookmarkEnd w:id="1206"/>
      <w:bookmarkEnd w:id="1207"/>
      <w:bookmarkEnd w:id="1208"/>
      <w:bookmarkEnd w:id="1209"/>
      <w:bookmarkEnd w:id="1210"/>
      <w:bookmarkEnd w:id="1211"/>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highlight w:val="white"/>
        </w:rPr>
        <w:t>16.1 发包人违约</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16.1.1发包人违约的情形</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发包人违约的其他情形：</w:t>
      </w:r>
      <w:r>
        <w:rPr>
          <w:rFonts w:hint="eastAsia" w:ascii="宋体" w:hAnsi="宋体" w:cs="宋体"/>
          <w:color w:val="000000"/>
          <w:kern w:val="0"/>
          <w:szCs w:val="21"/>
          <w:highlight w:val="white"/>
          <w:u w:val="single"/>
        </w:rPr>
        <w:t xml:space="preserve">  </w:t>
      </w:r>
      <w:r>
        <w:rPr>
          <w:rFonts w:hint="eastAsia" w:ascii="宋体" w:hAnsi="宋体" w:cs="宋体"/>
          <w:color w:val="000000"/>
          <w:szCs w:val="21"/>
          <w:highlight w:val="white"/>
          <w:u w:val="single"/>
          <w:lang w:eastAsia="zh-CN"/>
        </w:rPr>
        <w:t>按通用条款执行</w:t>
      </w:r>
      <w:r>
        <w:rPr>
          <w:rFonts w:hint="eastAsia" w:ascii="宋体" w:hAnsi="宋体" w:cs="宋体"/>
          <w:color w:val="000000"/>
          <w:kern w:val="0"/>
          <w:szCs w:val="21"/>
          <w:highlight w:val="white"/>
          <w:u w:val="single"/>
        </w:rPr>
        <w:t xml:space="preserve">  </w:t>
      </w:r>
      <w:r>
        <w:rPr>
          <w:rFonts w:hint="eastAsia" w:ascii="宋体" w:hAnsi="宋体" w:cs="宋体"/>
          <w:color w:val="000000"/>
          <w:kern w:val="0"/>
          <w:szCs w:val="21"/>
          <w:highlight w:val="white"/>
        </w:rPr>
        <w:t>。</w:t>
      </w:r>
    </w:p>
    <w:p>
      <w:pPr>
        <w:spacing w:line="360" w:lineRule="auto"/>
        <w:ind w:left="1050" w:hanging="1050" w:hangingChars="500"/>
        <w:jc w:val="left"/>
        <w:rPr>
          <w:rFonts w:hint="eastAsia" w:ascii="宋体" w:hAnsi="宋体" w:cs="宋体"/>
          <w:color w:val="000000"/>
          <w:kern w:val="0"/>
          <w:szCs w:val="21"/>
        </w:rPr>
      </w:pPr>
      <w:r>
        <w:rPr>
          <w:rFonts w:hint="eastAsia" w:ascii="宋体" w:hAnsi="宋体" w:cs="宋体"/>
          <w:color w:val="000000"/>
          <w:kern w:val="0"/>
          <w:szCs w:val="21"/>
          <w:highlight w:val="white"/>
        </w:rPr>
        <w:t xml:space="preserve">    16.1.2 发包人违约的责任</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发包人违约责任的承担方式和计算方法：</w:t>
      </w:r>
    </w:p>
    <w:p>
      <w:pPr>
        <w:spacing w:line="360" w:lineRule="auto"/>
        <w:ind w:firstLine="420" w:firstLineChars="200"/>
        <w:jc w:val="left"/>
        <w:rPr>
          <w:rFonts w:hint="eastAsia" w:ascii="宋体" w:hAnsi="宋体" w:cs="宋体"/>
          <w:color w:val="000000"/>
          <w:kern w:val="0"/>
          <w:szCs w:val="21"/>
          <w:u w:val="single"/>
        </w:rPr>
      </w:pPr>
      <w:r>
        <w:rPr>
          <w:rFonts w:hint="eastAsia" w:ascii="宋体" w:hAnsi="宋体" w:cs="宋体"/>
          <w:color w:val="000000"/>
          <w:kern w:val="0"/>
          <w:szCs w:val="21"/>
          <w:highlight w:val="white"/>
        </w:rPr>
        <w:t>（1）因发包人原因未能在计划开工日期前7天内下达开工通知的违约责任：</w:t>
      </w:r>
      <w:r>
        <w:rPr>
          <w:rFonts w:hint="eastAsia" w:ascii="宋体" w:hAnsi="宋体" w:cs="宋体"/>
          <w:color w:val="000000"/>
          <w:kern w:val="0"/>
          <w:szCs w:val="21"/>
          <w:highlight w:val="white"/>
          <w:u w:val="single"/>
        </w:rPr>
        <w:t xml:space="preserve"> 发包人不承担任何违约责任、补偿责任和赔偿责任，承包人已充分考虑该风险因素 </w:t>
      </w:r>
      <w:r>
        <w:rPr>
          <w:rFonts w:hint="eastAsia" w:ascii="宋体" w:hAnsi="宋体" w:cs="宋体"/>
          <w:color w:val="000000"/>
          <w:kern w:val="0"/>
          <w:szCs w:val="21"/>
          <w:highlight w:val="white"/>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（2）因发包人原因未能按合同约定支付合同价款的违约责任：</w:t>
      </w:r>
      <w:r>
        <w:rPr>
          <w:rFonts w:hint="eastAsia" w:ascii="宋体" w:hAnsi="宋体" w:cs="宋体"/>
          <w:color w:val="000000"/>
          <w:kern w:val="0"/>
          <w:szCs w:val="21"/>
          <w:highlight w:val="white"/>
          <w:u w:val="single"/>
        </w:rPr>
        <w:t xml:space="preserve">  </w:t>
      </w:r>
      <w:r>
        <w:rPr>
          <w:rFonts w:hint="eastAsia" w:ascii="宋体" w:hAnsi="宋体" w:cs="宋体"/>
          <w:color w:val="000000"/>
          <w:szCs w:val="21"/>
          <w:highlight w:val="white"/>
          <w:u w:val="single"/>
          <w:lang w:eastAsia="zh-CN"/>
        </w:rPr>
        <w:t>按通用条款执行</w:t>
      </w:r>
      <w:r>
        <w:rPr>
          <w:rFonts w:hint="eastAsia" w:ascii="宋体" w:hAnsi="宋体" w:cs="宋体"/>
          <w:color w:val="000000"/>
          <w:kern w:val="0"/>
          <w:szCs w:val="21"/>
          <w:highlight w:val="white"/>
          <w:u w:val="single"/>
        </w:rPr>
        <w:t xml:space="preserve"> </w:t>
      </w:r>
      <w:r>
        <w:rPr>
          <w:rFonts w:hint="eastAsia" w:ascii="宋体" w:hAnsi="宋体" w:cs="宋体"/>
          <w:color w:val="000000"/>
          <w:kern w:val="0"/>
          <w:szCs w:val="21"/>
          <w:highlight w:val="white"/>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（3）发包人违反第10.1款〔变更的范围〕第（2）项约定，自行实施被取消的工作或转由他人实施的违约责任：</w:t>
      </w:r>
      <w:r>
        <w:rPr>
          <w:rFonts w:hint="eastAsia" w:ascii="宋体" w:hAnsi="宋体" w:cs="宋体"/>
          <w:color w:val="000000"/>
          <w:kern w:val="0"/>
          <w:szCs w:val="21"/>
          <w:highlight w:val="white"/>
          <w:u w:val="single"/>
        </w:rPr>
        <w:t xml:space="preserve"> </w:t>
      </w:r>
      <w:r>
        <w:rPr>
          <w:rFonts w:hint="eastAsia" w:ascii="宋体" w:hAnsi="宋体" w:cs="宋体"/>
          <w:color w:val="000000"/>
          <w:szCs w:val="21"/>
          <w:highlight w:val="white"/>
          <w:u w:val="single"/>
          <w:lang w:eastAsia="zh-CN"/>
        </w:rPr>
        <w:t>按通用条款执行</w:t>
      </w:r>
      <w:r>
        <w:rPr>
          <w:rFonts w:hint="eastAsia" w:ascii="宋体" w:hAnsi="宋体" w:cs="宋体"/>
          <w:color w:val="000000"/>
          <w:kern w:val="0"/>
          <w:szCs w:val="21"/>
          <w:highlight w:val="white"/>
          <w:u w:val="single"/>
        </w:rPr>
        <w:t xml:space="preserve"> </w:t>
      </w:r>
      <w:r>
        <w:rPr>
          <w:rFonts w:hint="eastAsia" w:ascii="宋体" w:hAnsi="宋体" w:cs="宋体"/>
          <w:color w:val="000000"/>
          <w:kern w:val="0"/>
          <w:szCs w:val="21"/>
          <w:highlight w:val="white"/>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（4）发包人提供的材料、工程设备的规格、数量或质量不符合合同约定，或因发包人原因导致交货日期延误或交货地点变更等情况的违约责任：</w:t>
      </w:r>
      <w:r>
        <w:rPr>
          <w:rFonts w:hint="eastAsia" w:ascii="宋体" w:hAnsi="宋体" w:cs="宋体"/>
          <w:color w:val="000000"/>
          <w:kern w:val="0"/>
          <w:szCs w:val="21"/>
          <w:highlight w:val="white"/>
          <w:u w:val="single"/>
        </w:rPr>
        <w:t xml:space="preserve"> 发包人按合同约定进行整改，并补偿承包人合理的工期 </w:t>
      </w:r>
      <w:r>
        <w:rPr>
          <w:rFonts w:hint="eastAsia" w:ascii="宋体" w:hAnsi="宋体" w:cs="宋体"/>
          <w:color w:val="000000"/>
          <w:kern w:val="0"/>
          <w:szCs w:val="21"/>
          <w:highlight w:val="white"/>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（5）因发包人违反合同约定造成暂停施工的违约责任：</w:t>
      </w:r>
      <w:r>
        <w:rPr>
          <w:rFonts w:hint="eastAsia" w:ascii="宋体" w:hAnsi="宋体" w:cs="宋体"/>
          <w:color w:val="000000"/>
          <w:kern w:val="0"/>
          <w:szCs w:val="21"/>
          <w:highlight w:val="white"/>
          <w:u w:val="single"/>
        </w:rPr>
        <w:t xml:space="preserve"> 承包人自行综合考虑相关风险，本条不作为发包人违约责任 </w:t>
      </w:r>
      <w:r>
        <w:rPr>
          <w:rFonts w:hint="eastAsia" w:ascii="宋体" w:hAnsi="宋体" w:cs="宋体"/>
          <w:color w:val="000000"/>
          <w:kern w:val="0"/>
          <w:szCs w:val="21"/>
          <w:highlight w:val="white"/>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（6）发包人无正当理由没有在约定期限内发出复工指示，导致承包人无法复工的违约责任：</w:t>
      </w:r>
      <w:r>
        <w:rPr>
          <w:rFonts w:hint="eastAsia" w:ascii="宋体" w:hAnsi="宋体" w:cs="宋体"/>
          <w:color w:val="000000"/>
          <w:kern w:val="0"/>
          <w:szCs w:val="21"/>
          <w:highlight w:val="white"/>
          <w:u w:val="single"/>
        </w:rPr>
        <w:t xml:space="preserve"> 承包人自行综合考虑相关风险，本条不作为发包人违约责任</w:t>
      </w:r>
      <w:r>
        <w:rPr>
          <w:rFonts w:hint="eastAsia" w:ascii="宋体" w:hAnsi="宋体" w:cs="宋体"/>
          <w:color w:val="000000"/>
          <w:kern w:val="0"/>
          <w:szCs w:val="21"/>
          <w:highlight w:val="white"/>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（7）其他：</w:t>
      </w:r>
      <w:r>
        <w:rPr>
          <w:rFonts w:hint="eastAsia" w:ascii="宋体" w:hAnsi="宋体" w:cs="宋体"/>
          <w:color w:val="000000"/>
          <w:kern w:val="0"/>
          <w:szCs w:val="21"/>
          <w:highlight w:val="white"/>
          <w:u w:val="single"/>
        </w:rPr>
        <w:t xml:space="preserve">  </w:t>
      </w:r>
      <w:r>
        <w:rPr>
          <w:rFonts w:hint="eastAsia" w:ascii="宋体" w:hAnsi="宋体" w:cs="宋体"/>
          <w:color w:val="000000"/>
          <w:kern w:val="0"/>
          <w:szCs w:val="21"/>
          <w:highlight w:val="white"/>
          <w:u w:val="single"/>
          <w:lang w:eastAsia="zh-CN"/>
        </w:rPr>
        <w:t>无</w:t>
      </w:r>
      <w:r>
        <w:rPr>
          <w:rFonts w:hint="eastAsia" w:ascii="宋体" w:hAnsi="宋体" w:cs="宋体"/>
          <w:color w:val="000000"/>
          <w:kern w:val="0"/>
          <w:szCs w:val="21"/>
          <w:highlight w:val="white"/>
          <w:u w:val="single"/>
        </w:rPr>
        <w:t xml:space="preserve">  </w:t>
      </w:r>
      <w:r>
        <w:rPr>
          <w:rFonts w:hint="eastAsia" w:ascii="宋体" w:hAnsi="宋体" w:cs="宋体"/>
          <w:color w:val="000000"/>
          <w:kern w:val="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16.1.3 因发包人违约解除合同</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承包人按16.1.1项〔发包人违约的情形〕约定暂停施工满</w:t>
      </w:r>
      <w:r>
        <w:rPr>
          <w:rFonts w:hint="eastAsia" w:ascii="宋体" w:hAnsi="宋体" w:cs="宋体"/>
          <w:color w:val="000000"/>
          <w:kern w:val="0"/>
          <w:szCs w:val="21"/>
          <w:highlight w:val="white"/>
          <w:u w:val="single"/>
        </w:rPr>
        <w:t xml:space="preserve">    </w:t>
      </w:r>
      <w:r>
        <w:rPr>
          <w:rFonts w:hint="eastAsia" w:ascii="宋体" w:hAnsi="宋体" w:cs="宋体"/>
          <w:color w:val="000000"/>
          <w:kern w:val="0"/>
          <w:szCs w:val="21"/>
          <w:highlight w:val="white"/>
        </w:rPr>
        <w:t>天后发包人仍不纠正其违约行为并致使合同目的不能实现的，承包人有权解除合同。</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highlight w:val="white"/>
        </w:rPr>
        <w:t>16.2 承包人违约</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16.2.1 承包人违约的情形</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承包人违约的其他情形：</w:t>
      </w:r>
      <w:r>
        <w:rPr>
          <w:rFonts w:hint="eastAsia" w:ascii="宋体" w:hAnsi="宋体" w:cs="宋体"/>
          <w:color w:val="000000"/>
          <w:kern w:val="0"/>
          <w:szCs w:val="21"/>
          <w:highlight w:val="white"/>
          <w:u w:val="single"/>
        </w:rPr>
        <w:t xml:space="preserve"> 按通用条款及本专用条款的其他约定</w:t>
      </w:r>
      <w:r>
        <w:rPr>
          <w:rFonts w:hint="eastAsia" w:ascii="宋体" w:hAnsi="宋体" w:cs="宋体"/>
          <w:color w:val="000000"/>
          <w:kern w:val="0"/>
          <w:szCs w:val="21"/>
          <w:highlight w:val="white"/>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16.2.2承包人违约的责任</w:t>
      </w:r>
    </w:p>
    <w:p>
      <w:pPr>
        <w:spacing w:line="360" w:lineRule="auto"/>
        <w:ind w:firstLine="420" w:firstLineChars="200"/>
        <w:jc w:val="left"/>
        <w:rPr>
          <w:rFonts w:hint="eastAsia" w:ascii="宋体" w:hAnsi="宋体" w:cs="宋体"/>
          <w:color w:val="000000"/>
          <w:kern w:val="0"/>
          <w:szCs w:val="21"/>
          <w:u w:val="single"/>
        </w:rPr>
      </w:pPr>
      <w:r>
        <w:rPr>
          <w:rFonts w:hint="eastAsia" w:ascii="宋体" w:hAnsi="宋体" w:cs="宋体"/>
          <w:color w:val="000000"/>
          <w:kern w:val="0"/>
          <w:szCs w:val="21"/>
          <w:highlight w:val="white"/>
        </w:rPr>
        <w:t>承包人违约责任的承担方式和计算方法：</w:t>
      </w:r>
      <w:r>
        <w:rPr>
          <w:rFonts w:hint="eastAsia" w:ascii="宋体" w:hAnsi="宋体" w:cs="宋体"/>
          <w:color w:val="000000"/>
          <w:kern w:val="0"/>
          <w:szCs w:val="21"/>
          <w:highlight w:val="white"/>
          <w:u w:val="single"/>
        </w:rPr>
        <w:t>按通用条款及本专用条款的其他约定</w:t>
      </w:r>
      <w:r>
        <w:rPr>
          <w:rFonts w:hint="eastAsia" w:ascii="宋体" w:hAnsi="宋体" w:cs="宋体"/>
          <w:color w:val="000000"/>
          <w:kern w:val="0"/>
          <w:szCs w:val="21"/>
          <w:highlight w:val="white"/>
        </w:rPr>
        <w:t>。</w:t>
      </w:r>
      <w:r>
        <w:rPr>
          <w:rFonts w:hint="eastAsia" w:ascii="宋体" w:hAnsi="宋体" w:cs="宋体"/>
          <w:color w:val="000000"/>
          <w:szCs w:val="21"/>
          <w:highlight w:val="white"/>
        </w:rPr>
        <w:t xml:space="preserve">    </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16.2.3 因承包人违约解除合同</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highlight w:val="white"/>
        </w:rPr>
        <w:t>关于承包人违约解除合同的特别约定：</w:t>
      </w:r>
      <w:r>
        <w:rPr>
          <w:rFonts w:hint="eastAsia" w:ascii="宋体" w:hAnsi="宋体" w:cs="宋体"/>
          <w:color w:val="000000"/>
          <w:kern w:val="0"/>
          <w:szCs w:val="21"/>
          <w:highlight w:val="white"/>
          <w:u w:val="single"/>
        </w:rPr>
        <w:t>按通用条款及本专用条款的其他约定</w:t>
      </w:r>
      <w:r>
        <w:rPr>
          <w:rFonts w:hint="eastAsia" w:ascii="宋体" w:hAnsi="宋体" w:cs="宋体"/>
          <w:color w:val="000000"/>
          <w:kern w:val="0"/>
          <w:szCs w:val="21"/>
          <w:highlight w:val="white"/>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highlight w:val="white"/>
        </w:rPr>
        <w:t>发包人继续使用承包人在施工现场的材料、设备、临时工程、承包人文件和由承包人或以其名义编制的其他文件的费用承担方式：</w:t>
      </w:r>
      <w:r>
        <w:rPr>
          <w:rFonts w:hint="eastAsia" w:ascii="宋体" w:hAnsi="宋体" w:cs="宋体"/>
          <w:color w:val="000000"/>
          <w:kern w:val="0"/>
          <w:szCs w:val="21"/>
          <w:highlight w:val="white"/>
          <w:u w:val="single"/>
        </w:rPr>
        <w:t xml:space="preserve"> 在合理范围内以双方协商为准 </w:t>
      </w:r>
      <w:r>
        <w:rPr>
          <w:rFonts w:hint="eastAsia" w:ascii="宋体" w:hAnsi="宋体" w:cs="宋体"/>
          <w:color w:val="000000"/>
          <w:kern w:val="0"/>
          <w:szCs w:val="21"/>
          <w:highlight w:val="white"/>
        </w:rPr>
        <w:t>。</w:t>
      </w:r>
    </w:p>
    <w:p>
      <w:pPr>
        <w:spacing w:line="360" w:lineRule="auto"/>
        <w:rPr>
          <w:rFonts w:hint="eastAsia" w:ascii="宋体" w:hAnsi="宋体" w:cs="宋体"/>
          <w:b/>
          <w:color w:val="000000"/>
          <w:szCs w:val="21"/>
        </w:rPr>
      </w:pPr>
      <w:bookmarkStart w:id="1214" w:name="_Toc389066729"/>
      <w:bookmarkStart w:id="1215" w:name="_Toc389146896"/>
      <w:bookmarkStart w:id="1216" w:name="_Toc392078603"/>
      <w:bookmarkStart w:id="1217" w:name="_Toc394329426"/>
      <w:bookmarkStart w:id="1218" w:name="_Toc351203649"/>
      <w:bookmarkStart w:id="1219" w:name="_Toc393093297"/>
      <w:r>
        <w:rPr>
          <w:rFonts w:hint="eastAsia" w:ascii="宋体" w:hAnsi="宋体" w:cs="宋体"/>
          <w:b/>
          <w:bCs/>
          <w:color w:val="000000"/>
          <w:szCs w:val="21"/>
          <w:highlight w:val="white"/>
        </w:rPr>
        <w:t>17</w:t>
      </w:r>
      <w:r>
        <w:rPr>
          <w:rFonts w:hint="eastAsia" w:ascii="宋体" w:hAnsi="宋体" w:cs="宋体"/>
          <w:b/>
          <w:color w:val="000000"/>
          <w:szCs w:val="21"/>
          <w:highlight w:val="white"/>
        </w:rPr>
        <w:t>. 不可抗力</w:t>
      </w:r>
      <w:bookmarkEnd w:id="1214"/>
      <w:bookmarkEnd w:id="1215"/>
      <w:bookmarkEnd w:id="1216"/>
      <w:bookmarkEnd w:id="1217"/>
      <w:bookmarkEnd w:id="1218"/>
      <w:bookmarkEnd w:id="1219"/>
      <w:r>
        <w:rPr>
          <w:rFonts w:hint="eastAsia" w:ascii="宋体" w:hAnsi="宋体" w:cs="宋体"/>
          <w:b/>
          <w:color w:val="000000"/>
          <w:szCs w:val="21"/>
          <w:highlight w:val="white"/>
        </w:rPr>
        <w:t xml:space="preserve"> </w:t>
      </w:r>
      <w:bookmarkEnd w:id="1212"/>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highlight w:val="white"/>
        </w:rPr>
        <w:t>17.1 不可抗力的确认</w:t>
      </w:r>
    </w:p>
    <w:p>
      <w:pPr>
        <w:spacing w:line="360" w:lineRule="auto"/>
        <w:ind w:firstLine="420" w:firstLineChars="200"/>
        <w:jc w:val="left"/>
        <w:rPr>
          <w:rFonts w:hint="eastAsia" w:ascii="宋体" w:hAnsi="宋体" w:cs="宋体"/>
          <w:color w:val="000000"/>
          <w:kern w:val="0"/>
          <w:szCs w:val="21"/>
          <w:u w:val="single"/>
        </w:rPr>
      </w:pPr>
      <w:r>
        <w:rPr>
          <w:rFonts w:hint="eastAsia" w:ascii="宋体" w:hAnsi="宋体" w:cs="宋体"/>
          <w:color w:val="000000"/>
          <w:szCs w:val="21"/>
          <w:highlight w:val="white"/>
        </w:rPr>
        <w:t xml:space="preserve">除通用合同条款约定的不可抗力事件之外，视为不可抗力的其他情形： </w:t>
      </w:r>
      <w:r>
        <w:rPr>
          <w:rFonts w:hint="eastAsia" w:ascii="宋体" w:hAnsi="宋体" w:cs="宋体"/>
          <w:color w:val="000000"/>
          <w:kern w:val="0"/>
          <w:szCs w:val="21"/>
          <w:highlight w:val="white"/>
          <w:u w:val="single"/>
        </w:rPr>
        <w:t xml:space="preserve"> </w:t>
      </w:r>
      <w:r>
        <w:rPr>
          <w:rFonts w:hint="eastAsia" w:ascii="宋体" w:hAnsi="宋体" w:cs="宋体"/>
          <w:color w:val="000000"/>
          <w:kern w:val="0"/>
          <w:szCs w:val="21"/>
          <w:highlight w:val="white"/>
          <w:u w:val="single"/>
          <w:lang w:eastAsia="zh-CN"/>
        </w:rPr>
        <w:t>无</w:t>
      </w:r>
      <w:r>
        <w:rPr>
          <w:rFonts w:hint="eastAsia" w:ascii="宋体" w:hAnsi="宋体" w:cs="宋体"/>
          <w:color w:val="000000"/>
          <w:kern w:val="0"/>
          <w:szCs w:val="21"/>
          <w:highlight w:val="white"/>
          <w:u w:val="single"/>
        </w:rPr>
        <w:t xml:space="preserve"> </w:t>
      </w:r>
      <w:r>
        <w:rPr>
          <w:rFonts w:hint="eastAsia" w:ascii="宋体" w:hAnsi="宋体" w:cs="宋体"/>
          <w:color w:val="000000"/>
          <w:kern w:val="0"/>
          <w:szCs w:val="21"/>
          <w:highlight w:val="white"/>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highlight w:val="white"/>
        </w:rPr>
        <w:t>17.4 因不可抗力解除合同</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合同解除后，发包人应在商定或确定发包人应支付款项后</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30</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天内完成款项的支付。</w:t>
      </w:r>
    </w:p>
    <w:p>
      <w:pPr>
        <w:spacing w:line="360" w:lineRule="auto"/>
        <w:rPr>
          <w:rFonts w:hint="eastAsia" w:ascii="宋体" w:hAnsi="宋体" w:cs="宋体"/>
          <w:b/>
          <w:color w:val="000000"/>
          <w:szCs w:val="21"/>
        </w:rPr>
      </w:pPr>
      <w:bookmarkStart w:id="1220" w:name="_Toc389066730"/>
      <w:bookmarkStart w:id="1221" w:name="_Toc393093298"/>
      <w:bookmarkStart w:id="1222" w:name="_Toc392078604"/>
      <w:bookmarkStart w:id="1223" w:name="_Toc389146897"/>
      <w:bookmarkStart w:id="1224" w:name="_Toc394329427"/>
      <w:bookmarkStart w:id="1225" w:name="_Toc351203650"/>
      <w:r>
        <w:rPr>
          <w:rFonts w:hint="eastAsia" w:ascii="宋体" w:hAnsi="宋体" w:cs="宋体"/>
          <w:b/>
          <w:color w:val="000000"/>
          <w:szCs w:val="21"/>
          <w:highlight w:val="white"/>
        </w:rPr>
        <w:t xml:space="preserve">18. </w:t>
      </w:r>
      <w:r>
        <w:rPr>
          <w:rFonts w:hint="eastAsia" w:ascii="宋体" w:hAnsi="宋体" w:cs="宋体"/>
          <w:b/>
          <w:bCs/>
          <w:color w:val="000000"/>
          <w:szCs w:val="21"/>
          <w:highlight w:val="white"/>
        </w:rPr>
        <w:t>保险</w:t>
      </w:r>
      <w:bookmarkEnd w:id="1220"/>
      <w:bookmarkEnd w:id="1221"/>
      <w:bookmarkEnd w:id="1222"/>
      <w:bookmarkEnd w:id="1223"/>
      <w:bookmarkEnd w:id="1224"/>
      <w:bookmarkEnd w:id="1225"/>
    </w:p>
    <w:bookmarkEnd w:id="1213"/>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highlight w:val="white"/>
        </w:rPr>
        <w:t>18.1 工程保险</w:t>
      </w:r>
    </w:p>
    <w:p>
      <w:pPr>
        <w:spacing w:line="360" w:lineRule="auto"/>
        <w:ind w:firstLine="420" w:firstLineChars="200"/>
        <w:jc w:val="left"/>
        <w:rPr>
          <w:rFonts w:hint="eastAsia" w:ascii="宋体" w:hAnsi="宋体" w:cs="宋体"/>
          <w:color w:val="000000"/>
          <w:szCs w:val="21"/>
          <w:highlight w:val="white"/>
          <w:u w:val="single"/>
        </w:rPr>
      </w:pPr>
      <w:r>
        <w:rPr>
          <w:rFonts w:hint="eastAsia" w:ascii="宋体" w:hAnsi="宋体" w:cs="宋体"/>
          <w:color w:val="000000"/>
          <w:szCs w:val="21"/>
          <w:highlight w:val="white"/>
        </w:rPr>
        <w:t>关于工程保险的特别约定：</w:t>
      </w:r>
      <w:r>
        <w:rPr>
          <w:rFonts w:hint="eastAsia" w:ascii="宋体" w:hAnsi="宋体" w:cs="宋体"/>
          <w:color w:val="000000"/>
          <w:szCs w:val="21"/>
          <w:highlight w:val="white"/>
          <w:u w:val="single"/>
        </w:rPr>
        <w:t xml:space="preserve">开工前，承包人须为本工程购买第三者责任保险，保险金额不低于100万元，并承担相关的保险费用。保险对象为施工期间在施工现场的除发包人及承包人以外的办公及过往人员，保险期限从开工之日起至工程竣工验收合格之日止。 </w:t>
      </w:r>
    </w:p>
    <w:p>
      <w:pPr>
        <w:spacing w:line="360" w:lineRule="auto"/>
        <w:ind w:firstLine="420" w:firstLineChars="200"/>
        <w:jc w:val="left"/>
        <w:rPr>
          <w:rFonts w:hint="eastAsia" w:ascii="宋体" w:hAnsi="宋体" w:cs="宋体"/>
          <w:color w:val="000000"/>
          <w:szCs w:val="21"/>
          <w:highlight w:val="white"/>
          <w:u w:val="single"/>
        </w:rPr>
      </w:pPr>
      <w:r>
        <w:rPr>
          <w:rFonts w:hint="eastAsia" w:ascii="宋体" w:hAnsi="宋体" w:cs="宋体"/>
          <w:color w:val="000000"/>
          <w:szCs w:val="21"/>
          <w:highlight w:val="white"/>
          <w:u w:val="single"/>
        </w:rPr>
        <w:t>承包人应按照下列规定办理保险，并支付保险费： (1)工程开工前，为施工场地内自有人员办理工伤保险、意外伤害保险； (2)为施工场地内的自有施工设备、采购进场的材料和工程设备等办理保险。保险期从开工之日起至工程竣工验收合格之日止 。</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highlight w:val="white"/>
        </w:rPr>
        <w:t>18.3 其他保险</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szCs w:val="21"/>
          <w:highlight w:val="white"/>
        </w:rPr>
        <w:t>关于其他保险的约定：</w:t>
      </w:r>
      <w:r>
        <w:rPr>
          <w:rFonts w:hint="eastAsia" w:ascii="宋体" w:hAnsi="宋体" w:cs="宋体"/>
          <w:color w:val="000000"/>
          <w:kern w:val="0"/>
          <w:szCs w:val="21"/>
          <w:highlight w:val="white"/>
          <w:u w:val="single"/>
        </w:rPr>
        <w:t xml:space="preserve"> </w:t>
      </w:r>
      <w:r>
        <w:rPr>
          <w:rFonts w:hint="eastAsia" w:ascii="宋体" w:hAnsi="宋体" w:cs="宋体"/>
          <w:color w:val="000000"/>
          <w:kern w:val="0"/>
          <w:szCs w:val="21"/>
          <w:highlight w:val="white"/>
          <w:u w:val="single"/>
          <w:lang w:eastAsia="zh-CN"/>
        </w:rPr>
        <w:t>无</w:t>
      </w:r>
      <w:r>
        <w:rPr>
          <w:rFonts w:hint="eastAsia" w:ascii="宋体" w:hAnsi="宋体" w:cs="宋体"/>
          <w:color w:val="000000"/>
          <w:kern w:val="0"/>
          <w:szCs w:val="21"/>
          <w:highlight w:val="white"/>
          <w:u w:val="single"/>
        </w:rPr>
        <w:t xml:space="preserve"> </w:t>
      </w:r>
      <w:r>
        <w:rPr>
          <w:rFonts w:hint="eastAsia" w:ascii="宋体" w:hAnsi="宋体" w:cs="宋体"/>
          <w:color w:val="000000"/>
          <w:kern w:val="0"/>
          <w:szCs w:val="21"/>
          <w:highlight w:val="white"/>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szCs w:val="21"/>
          <w:highlight w:val="white"/>
        </w:rPr>
        <w:t>承包人是否应为其施工设备等办理财产保险：</w:t>
      </w:r>
      <w:r>
        <w:rPr>
          <w:rFonts w:hint="eastAsia" w:ascii="宋体" w:hAnsi="宋体" w:cs="宋体"/>
          <w:color w:val="000000"/>
          <w:szCs w:val="21"/>
          <w:highlight w:val="white"/>
          <w:u w:val="single"/>
        </w:rPr>
        <w:t xml:space="preserve"> 承包人自行考虑 </w:t>
      </w:r>
      <w:r>
        <w:rPr>
          <w:rFonts w:hint="eastAsia" w:ascii="宋体" w:hAnsi="宋体" w:cs="宋体"/>
          <w:color w:val="000000"/>
          <w:szCs w:val="21"/>
          <w:highlight w:val="white"/>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highlight w:val="white"/>
        </w:rPr>
        <w:t>18.7 通知义务</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kern w:val="0"/>
          <w:szCs w:val="21"/>
          <w:highlight w:val="white"/>
        </w:rPr>
        <w:t>关于变更保险合同时的通知义务的约定：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按通用条款执行</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bookmarkEnd w:id="1184"/>
    <w:bookmarkEnd w:id="1185"/>
    <w:bookmarkEnd w:id="1186"/>
    <w:bookmarkEnd w:id="1187"/>
    <w:bookmarkEnd w:id="1188"/>
    <w:bookmarkEnd w:id="1189"/>
    <w:bookmarkEnd w:id="1190"/>
    <w:bookmarkEnd w:id="1191"/>
    <w:bookmarkEnd w:id="1192"/>
    <w:bookmarkEnd w:id="1193"/>
    <w:bookmarkEnd w:id="1194"/>
    <w:bookmarkEnd w:id="1195"/>
    <w:p>
      <w:pPr>
        <w:spacing w:line="360" w:lineRule="auto"/>
        <w:rPr>
          <w:rFonts w:hint="eastAsia" w:ascii="宋体" w:hAnsi="宋体" w:cs="宋体"/>
          <w:b/>
          <w:color w:val="000000"/>
          <w:szCs w:val="21"/>
        </w:rPr>
      </w:pPr>
      <w:bookmarkStart w:id="1226" w:name="_Toc393093299"/>
      <w:bookmarkStart w:id="1227" w:name="_Toc392078605"/>
      <w:bookmarkStart w:id="1228" w:name="_Toc389146898"/>
      <w:bookmarkStart w:id="1229" w:name="_Toc389066731"/>
      <w:bookmarkStart w:id="1230" w:name="_Toc394329428"/>
      <w:bookmarkStart w:id="1231" w:name="_Toc351203651"/>
      <w:r>
        <w:rPr>
          <w:rFonts w:hint="eastAsia" w:ascii="宋体" w:hAnsi="宋体" w:cs="宋体"/>
          <w:b/>
          <w:color w:val="000000"/>
          <w:szCs w:val="21"/>
          <w:highlight w:val="white"/>
        </w:rPr>
        <w:t>20. 争议解决</w:t>
      </w:r>
      <w:bookmarkEnd w:id="1226"/>
      <w:bookmarkEnd w:id="1227"/>
      <w:bookmarkEnd w:id="1228"/>
      <w:bookmarkEnd w:id="1229"/>
      <w:bookmarkEnd w:id="1230"/>
      <w:bookmarkEnd w:id="1231"/>
    </w:p>
    <w:bookmarkEnd w:id="1196"/>
    <w:bookmarkEnd w:id="1197"/>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highlight w:val="white"/>
        </w:rPr>
        <w:t>20.3 争</w:t>
      </w:r>
      <w:bookmarkEnd w:id="1198"/>
      <w:r>
        <w:rPr>
          <w:rFonts w:hint="eastAsia" w:ascii="宋体" w:hAnsi="宋体" w:cs="宋体"/>
          <w:color w:val="000000"/>
          <w:szCs w:val="21"/>
          <w:highlight w:val="white"/>
        </w:rPr>
        <w:t>议评审</w:t>
      </w:r>
    </w:p>
    <w:p>
      <w:pPr>
        <w:spacing w:line="360" w:lineRule="auto"/>
        <w:ind w:left="149" w:leftChars="71" w:firstLine="315" w:firstLineChars="150"/>
        <w:jc w:val="left"/>
        <w:rPr>
          <w:rFonts w:hint="eastAsia" w:ascii="宋体" w:hAnsi="宋体" w:cs="宋体"/>
          <w:color w:val="000000"/>
          <w:szCs w:val="21"/>
        </w:rPr>
      </w:pPr>
      <w:r>
        <w:rPr>
          <w:rFonts w:hint="eastAsia" w:ascii="宋体" w:hAnsi="宋体" w:cs="宋体"/>
          <w:color w:val="000000"/>
          <w:szCs w:val="21"/>
          <w:highlight w:val="white"/>
        </w:rPr>
        <w:t>合同当事人是否同意将工程争议提交争议评审小组决定：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是</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 xml:space="preserve">。  </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20.3.1 争议评审小组的确定</w:t>
      </w:r>
    </w:p>
    <w:p>
      <w:pPr>
        <w:spacing w:line="360" w:lineRule="auto"/>
        <w:ind w:firstLine="420" w:firstLineChars="200"/>
        <w:jc w:val="left"/>
        <w:rPr>
          <w:rFonts w:hint="eastAsia" w:ascii="宋体" w:hAnsi="宋体" w:cs="宋体"/>
          <w:color w:val="000000"/>
          <w:szCs w:val="21"/>
          <w:u w:val="single"/>
        </w:rPr>
      </w:pPr>
      <w:r>
        <w:rPr>
          <w:rFonts w:hint="eastAsia" w:ascii="宋体" w:hAnsi="宋体" w:cs="宋体"/>
          <w:color w:val="000000"/>
          <w:szCs w:val="21"/>
          <w:highlight w:val="white"/>
        </w:rPr>
        <w:t>争议评审小组成员的确定：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按通用条款执行</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选定争议评审员的期限：</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按通用条款执行</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争议评审小组成员的报酬承担方式：</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按通用条款执行</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其他事项的约定：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highlight w:val="white"/>
        </w:rPr>
        <w:t>20.3.2 争议评审小组的决定</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合同当事人关于本项的约定：</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按通用条款执行</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highlight w:val="white"/>
        </w:rPr>
        <w:t>20.4仲裁或诉讼</w:t>
      </w:r>
      <w:bookmarkEnd w:id="1199"/>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highlight w:val="white"/>
        </w:rPr>
        <w:t>因合同及合同有关事项发生的争议，按下列第</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w:t>
      </w:r>
      <w:r>
        <w:rPr>
          <w:rFonts w:hint="eastAsia" w:ascii="宋体" w:hAnsi="宋体" w:cs="宋体"/>
          <w:color w:val="000000"/>
          <w:szCs w:val="21"/>
          <w:highlight w:val="white"/>
          <w:u w:val="single"/>
          <w:lang w:val="en-US" w:eastAsia="zh-CN"/>
        </w:rPr>
        <w:t>2</w:t>
      </w:r>
      <w:r>
        <w:rPr>
          <w:rFonts w:hint="eastAsia" w:ascii="宋体" w:hAnsi="宋体" w:cs="宋体"/>
          <w:color w:val="000000"/>
          <w:szCs w:val="21"/>
          <w:highlight w:val="white"/>
          <w:u w:val="single"/>
          <w:lang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种方式解决：</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（1）向</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val="en-US" w:eastAsia="zh-CN"/>
        </w:rPr>
        <w:t>/</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仲裁委员会申请仲裁；</w:t>
      </w:r>
    </w:p>
    <w:p>
      <w:pPr>
        <w:spacing w:line="360" w:lineRule="auto"/>
        <w:ind w:left="420" w:leftChars="200"/>
        <w:rPr>
          <w:rFonts w:hint="eastAsia" w:ascii="宋体" w:hAnsi="宋体" w:cs="宋体"/>
          <w:bCs/>
          <w:szCs w:val="21"/>
        </w:rPr>
      </w:pPr>
      <w:r>
        <w:rPr>
          <w:rFonts w:hint="eastAsia" w:ascii="宋体" w:hAnsi="宋体" w:cs="宋体"/>
          <w:color w:val="000000"/>
          <w:szCs w:val="21"/>
          <w:highlight w:val="white"/>
        </w:rPr>
        <w:t>（2）</w:t>
      </w:r>
      <w:bookmarkEnd w:id="1200"/>
      <w:bookmarkEnd w:id="1201"/>
      <w:bookmarkEnd w:id="1202"/>
      <w:bookmarkEnd w:id="1203"/>
      <w:bookmarkEnd w:id="1204"/>
      <w:bookmarkEnd w:id="1205"/>
      <w:r>
        <w:rPr>
          <w:rFonts w:hint="eastAsia" w:ascii="宋体" w:hAnsi="宋体" w:cs="宋体"/>
          <w:bCs/>
          <w:szCs w:val="21"/>
        </w:rPr>
        <w:t>合同履行过程中发生的任何争议，如双方未能通过友好协商解决，应向佛山市有管辖权的人民法院提起诉讼。对交付标的物质量有争议的，统一由佛山市辖属的专业检测机构进行终局鉴定，鉴定结果符合质量技术标准时，鉴定费由委托方承担；否则鉴定费由承包方承担。</w:t>
      </w:r>
    </w:p>
    <w:p>
      <w:pPr>
        <w:spacing w:line="360" w:lineRule="auto"/>
        <w:ind w:firstLine="480"/>
        <w:rPr>
          <w:rFonts w:hint="eastAsia" w:ascii="宋体" w:hAnsi="宋体" w:cs="宋体"/>
          <w:b/>
          <w:szCs w:val="21"/>
        </w:rPr>
      </w:pPr>
      <w:r>
        <w:rPr>
          <w:rFonts w:hint="eastAsia" w:ascii="宋体" w:hAnsi="宋体" w:cs="宋体"/>
          <w:bCs/>
          <w:szCs w:val="21"/>
        </w:rPr>
        <w:t>法院审理期间，除提交法院审理的事项外，其它无争议的事项和条款仍应继续履行。</w:t>
      </w:r>
    </w:p>
    <w:p>
      <w:pPr>
        <w:pStyle w:val="92"/>
        <w:spacing w:line="360" w:lineRule="auto"/>
        <w:rPr>
          <w:rFonts w:hint="eastAsia" w:ascii="Times New Roman" w:hAnsi="Times New Roman"/>
          <w:b/>
          <w:color w:val="000000"/>
          <w:highlight w:val="white"/>
        </w:rPr>
      </w:pPr>
      <w:r>
        <w:rPr>
          <w:rFonts w:hint="eastAsia" w:ascii="宋体" w:hAnsi="宋体" w:cs="宋体"/>
          <w:b/>
          <w:szCs w:val="21"/>
        </w:rPr>
        <w:br w:type="page"/>
      </w:r>
      <w:r>
        <w:rPr>
          <w:rFonts w:hint="eastAsia" w:ascii="Times New Roman" w:hAnsi="Times New Roman"/>
          <w:b/>
          <w:color w:val="000000"/>
          <w:highlight w:val="white"/>
        </w:rPr>
        <w:t>合同附件清单：</w:t>
      </w:r>
    </w:p>
    <w:p>
      <w:pPr>
        <w:pStyle w:val="92"/>
        <w:spacing w:line="360" w:lineRule="auto"/>
        <w:rPr>
          <w:rFonts w:hint="eastAsia" w:ascii="Times New Roman" w:hAnsi="Times New Roman"/>
          <w:b/>
          <w:color w:val="000000"/>
          <w:highlight w:val="white"/>
        </w:rPr>
      </w:pPr>
      <w:r>
        <w:rPr>
          <w:rFonts w:hint="eastAsia" w:ascii="Times New Roman" w:hAnsi="Times New Roman"/>
          <w:b/>
          <w:color w:val="000000"/>
          <w:highlight w:val="white"/>
        </w:rPr>
        <w:t>附件一：《工程质量保修书》</w:t>
      </w:r>
    </w:p>
    <w:p>
      <w:pPr>
        <w:pStyle w:val="92"/>
        <w:spacing w:line="360" w:lineRule="auto"/>
        <w:rPr>
          <w:rFonts w:hint="eastAsia" w:ascii="Times New Roman" w:hAnsi="Times New Roman"/>
          <w:b/>
          <w:color w:val="000000"/>
          <w:highlight w:val="white"/>
        </w:rPr>
      </w:pPr>
      <w:r>
        <w:rPr>
          <w:rFonts w:hint="eastAsia" w:ascii="Times New Roman" w:hAnsi="Times New Roman"/>
          <w:b/>
          <w:color w:val="000000"/>
          <w:highlight w:val="white"/>
        </w:rPr>
        <w:t>附件二：《廉政合同》</w:t>
      </w:r>
    </w:p>
    <w:p>
      <w:pPr>
        <w:pStyle w:val="92"/>
        <w:spacing w:line="360" w:lineRule="auto"/>
        <w:rPr>
          <w:rFonts w:hint="eastAsia" w:ascii="Times New Roman" w:hAnsi="Times New Roman"/>
          <w:b/>
          <w:color w:val="000000"/>
          <w:highlight w:val="white"/>
        </w:rPr>
      </w:pPr>
      <w:r>
        <w:rPr>
          <w:rFonts w:hint="eastAsia" w:ascii="Times New Roman" w:hAnsi="Times New Roman"/>
          <w:b/>
          <w:color w:val="000000"/>
          <w:highlight w:val="white"/>
        </w:rPr>
        <w:t>附件三：《报价清单明细部分》</w:t>
      </w:r>
    </w:p>
    <w:p>
      <w:pPr>
        <w:pStyle w:val="92"/>
        <w:spacing w:line="360" w:lineRule="auto"/>
        <w:rPr>
          <w:rFonts w:hint="eastAsia" w:ascii="Times New Roman" w:hAnsi="Times New Roman"/>
          <w:b/>
          <w:color w:val="000000"/>
          <w:highlight w:val="white"/>
        </w:rPr>
      </w:pPr>
      <w:r>
        <w:rPr>
          <w:rFonts w:hint="eastAsia" w:ascii="Times New Roman" w:hAnsi="Times New Roman"/>
          <w:b/>
          <w:color w:val="000000"/>
          <w:highlight w:val="white"/>
        </w:rPr>
        <w:t>附件四：《主要建设工程文件目录》</w:t>
      </w:r>
    </w:p>
    <w:p>
      <w:pPr>
        <w:pStyle w:val="92"/>
        <w:spacing w:line="360" w:lineRule="auto"/>
        <w:rPr>
          <w:rFonts w:hint="eastAsia" w:ascii="Times New Roman" w:hAnsi="Times New Roman"/>
          <w:b/>
          <w:color w:val="000000"/>
          <w:highlight w:val="white"/>
        </w:rPr>
      </w:pPr>
      <w:r>
        <w:rPr>
          <w:rFonts w:hint="eastAsia" w:ascii="Times New Roman" w:hAnsi="Times New Roman"/>
          <w:b/>
          <w:color w:val="000000"/>
          <w:highlight w:val="white"/>
        </w:rPr>
        <w:t>附件五：《承包人用于本工程施工的机械设备表》</w:t>
      </w:r>
    </w:p>
    <w:p>
      <w:pPr>
        <w:pStyle w:val="92"/>
        <w:spacing w:line="360" w:lineRule="auto"/>
        <w:rPr>
          <w:rFonts w:hint="eastAsia" w:ascii="Times New Roman" w:hAnsi="Times New Roman"/>
          <w:b/>
          <w:color w:val="000000"/>
          <w:highlight w:val="white"/>
        </w:rPr>
      </w:pPr>
      <w:r>
        <w:rPr>
          <w:rFonts w:hint="eastAsia" w:ascii="Times New Roman" w:hAnsi="Times New Roman"/>
          <w:b/>
          <w:color w:val="000000"/>
          <w:highlight w:val="white"/>
        </w:rPr>
        <w:t>附件六：《承包人主要施工管理人员表》</w:t>
      </w:r>
    </w:p>
    <w:p>
      <w:pPr>
        <w:pStyle w:val="92"/>
        <w:spacing w:line="360" w:lineRule="auto"/>
        <w:rPr>
          <w:rFonts w:hint="eastAsia" w:ascii="Times New Roman" w:hAnsi="Times New Roman"/>
          <w:b/>
          <w:color w:val="000000"/>
          <w:highlight w:val="white"/>
        </w:rPr>
      </w:pPr>
      <w:r>
        <w:rPr>
          <w:rFonts w:hint="eastAsia" w:ascii="Times New Roman" w:hAnsi="Times New Roman"/>
          <w:b/>
          <w:color w:val="000000"/>
          <w:highlight w:val="white"/>
        </w:rPr>
        <w:t>附件七：《暂估价一览表》</w:t>
      </w:r>
    </w:p>
    <w:p>
      <w:pPr>
        <w:pStyle w:val="92"/>
        <w:spacing w:line="360" w:lineRule="auto"/>
        <w:rPr>
          <w:rFonts w:hint="eastAsia" w:ascii="Times New Roman" w:hAnsi="Times New Roman"/>
          <w:b/>
          <w:color w:val="000000"/>
          <w:highlight w:val="white"/>
        </w:rPr>
      </w:pPr>
      <w:r>
        <w:rPr>
          <w:rFonts w:hint="eastAsia" w:ascii="Times New Roman" w:hAnsi="Times New Roman"/>
          <w:b/>
          <w:color w:val="000000"/>
          <w:highlight w:val="white"/>
        </w:rPr>
        <w:t>附件八、《银行担保函》</w:t>
      </w:r>
    </w:p>
    <w:p>
      <w:pPr>
        <w:widowControl/>
        <w:spacing w:line="360" w:lineRule="auto"/>
        <w:jc w:val="left"/>
        <w:rPr>
          <w:rFonts w:hint="eastAsia" w:ascii="宋体" w:hAnsi="宋体" w:cs="宋体"/>
          <w:szCs w:val="21"/>
        </w:rPr>
        <w:sectPr>
          <w:pgSz w:w="11906" w:h="16838"/>
          <w:pgMar w:top="1134" w:right="1134" w:bottom="1134" w:left="1587" w:header="567" w:footer="737" w:gutter="0"/>
          <w:cols w:space="720" w:num="1"/>
        </w:sectPr>
      </w:pPr>
    </w:p>
    <w:p>
      <w:pPr>
        <w:pageBreakBefore/>
        <w:spacing w:line="360" w:lineRule="auto"/>
        <w:rPr>
          <w:rFonts w:hint="eastAsia" w:ascii="宋体" w:hAnsi="宋体" w:cs="宋体"/>
          <w:b/>
          <w:szCs w:val="21"/>
        </w:rPr>
      </w:pPr>
      <w:bookmarkStart w:id="1232" w:name="_Toc205170472"/>
      <w:r>
        <w:rPr>
          <w:rFonts w:hint="eastAsia" w:ascii="宋体" w:hAnsi="宋体" w:cs="宋体"/>
          <w:b/>
          <w:color w:val="000000"/>
          <w:szCs w:val="21"/>
          <w:highlight w:val="white"/>
        </w:rPr>
        <w:t>附件一：</w:t>
      </w:r>
    </w:p>
    <w:p>
      <w:pPr>
        <w:spacing w:line="360" w:lineRule="auto"/>
        <w:jc w:val="center"/>
        <w:rPr>
          <w:rFonts w:hint="eastAsia" w:ascii="宋体" w:hAnsi="宋体" w:cs="宋体"/>
          <w:b/>
          <w:szCs w:val="21"/>
        </w:rPr>
      </w:pPr>
      <w:r>
        <w:rPr>
          <w:rFonts w:hint="eastAsia" w:ascii="宋体" w:hAnsi="宋体" w:cs="宋体"/>
          <w:b/>
          <w:color w:val="000000"/>
          <w:szCs w:val="21"/>
          <w:highlight w:val="white"/>
        </w:rPr>
        <w:t>工程质量保修书</w:t>
      </w: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color w:val="000000"/>
          <w:szCs w:val="21"/>
          <w:highlight w:val="white"/>
        </w:rPr>
        <w:t>发包人：</w:t>
      </w:r>
      <w:r>
        <w:rPr>
          <w:rFonts w:hint="eastAsia" w:ascii="宋体" w:hAnsi="宋体" w:cs="宋体"/>
          <w:color w:val="000000"/>
          <w:szCs w:val="21"/>
          <w:highlight w:val="white"/>
          <w:lang w:eastAsia="zh-CN"/>
        </w:rPr>
        <w:t>佛山市公安局</w:t>
      </w:r>
    </w:p>
    <w:p>
      <w:pPr>
        <w:spacing w:line="360" w:lineRule="auto"/>
        <w:rPr>
          <w:rFonts w:hint="eastAsia" w:ascii="宋体" w:hAnsi="宋体" w:cs="宋体"/>
          <w:szCs w:val="21"/>
        </w:rPr>
      </w:pPr>
      <w:r>
        <w:rPr>
          <w:rFonts w:hint="eastAsia" w:ascii="宋体" w:hAnsi="宋体" w:cs="宋体"/>
          <w:color w:val="000000"/>
          <w:szCs w:val="21"/>
          <w:highlight w:val="white"/>
        </w:rPr>
        <w:t xml:space="preserve">承包人： </w:t>
      </w:r>
    </w:p>
    <w:p>
      <w:pPr>
        <w:spacing w:line="360" w:lineRule="auto"/>
        <w:rPr>
          <w:rFonts w:hint="eastAsia"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为保证</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u w:val="single"/>
          <w:lang w:eastAsia="zh-CN"/>
        </w:rPr>
        <w:t>佛山市公安局铺设电缆</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r>
        <w:rPr>
          <w:rFonts w:hint="eastAsia" w:ascii="宋体" w:hAnsi="宋体" w:cs="宋体"/>
          <w:color w:val="000000"/>
          <w:szCs w:val="21"/>
          <w:highlight w:val="white"/>
          <w:lang w:eastAsia="zh-CN"/>
        </w:rPr>
        <w:t>项目编号：</w:t>
      </w:r>
      <w:r>
        <w:rPr>
          <w:rFonts w:hint="eastAsia" w:ascii="宋体" w:hAnsi="宋体" w:cs="宋体"/>
          <w:color w:val="000000"/>
          <w:szCs w:val="21"/>
          <w:highlight w:val="white"/>
          <w:u w:val="single"/>
          <w:lang w:val="en-US" w:eastAsia="zh-CN"/>
        </w:rPr>
        <w:t xml:space="preserve"> fsganb202404005</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）在合理使用期限内正常使用，合同双方当事人根据《中华人民共和国建筑法》、《建设工程质量管理条例》和《房屋建筑工程质量保修办法》等规定，经协商一致，订立本质量保修书。</w:t>
      </w:r>
    </w:p>
    <w:p>
      <w:pPr>
        <w:spacing w:line="360" w:lineRule="auto"/>
        <w:rPr>
          <w:rFonts w:hint="eastAsia" w:ascii="宋体" w:hAnsi="宋体" w:cs="宋体"/>
          <w:szCs w:val="21"/>
        </w:rPr>
      </w:pPr>
      <w:r>
        <w:rPr>
          <w:rFonts w:hint="eastAsia" w:ascii="宋体" w:hAnsi="宋体" w:cs="宋体"/>
          <w:color w:val="000000"/>
          <w:szCs w:val="21"/>
          <w:highlight w:val="white"/>
        </w:rPr>
        <w:t>1． 质量保修范围</w:t>
      </w:r>
    </w:p>
    <w:p>
      <w:pPr>
        <w:spacing w:line="360" w:lineRule="auto"/>
        <w:ind w:firstLine="420" w:firstLineChars="200"/>
        <w:rPr>
          <w:rFonts w:hint="eastAsia" w:ascii="宋体" w:hAnsi="宋体" w:cs="宋体"/>
          <w:szCs w:val="21"/>
        </w:rPr>
      </w:pPr>
      <w:r>
        <w:rPr>
          <w:rFonts w:hint="eastAsia" w:ascii="宋体" w:hAnsi="宋体" w:cs="宋体"/>
          <w:color w:val="000000"/>
          <w:szCs w:val="21"/>
          <w:highlight w:val="white"/>
        </w:rPr>
        <w:t>质量保修范围包括地基基础工程、主体结构工程、屋面防水工程、有防水要求的卫生间、 房间、外墙面的防渗漏工程、电气管线工程、给排水管道工程、设备安装工程、供热、供冷系 统工程、装饰装修工程以及双方约定其他项目。具体质量保修范围，合同双方当事人约定如下：</w:t>
      </w:r>
    </w:p>
    <w:p>
      <w:pPr>
        <w:numPr>
          <w:ilvl w:val="0"/>
          <w:numId w:val="20"/>
        </w:numPr>
        <w:spacing w:line="360" w:lineRule="auto"/>
        <w:rPr>
          <w:rFonts w:hint="eastAsia" w:ascii="宋体" w:hAnsi="宋体" w:cs="宋体"/>
          <w:szCs w:val="21"/>
        </w:rPr>
      </w:pPr>
    </w:p>
    <w:p>
      <w:pPr>
        <w:numPr>
          <w:ilvl w:val="0"/>
          <w:numId w:val="20"/>
        </w:numPr>
        <w:spacing w:line="360" w:lineRule="auto"/>
        <w:rPr>
          <w:rFonts w:hint="eastAsia" w:ascii="宋体" w:hAnsi="宋体" w:cs="宋体"/>
          <w:szCs w:val="21"/>
        </w:rPr>
      </w:pPr>
    </w:p>
    <w:p>
      <w:pPr>
        <w:numPr>
          <w:ilvl w:val="0"/>
          <w:numId w:val="20"/>
        </w:num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color w:val="000000"/>
          <w:szCs w:val="21"/>
          <w:highlight w:val="white"/>
        </w:rPr>
        <w:t>2． 质量保修期</w:t>
      </w:r>
    </w:p>
    <w:p>
      <w:pPr>
        <w:spacing w:line="360" w:lineRule="auto"/>
        <w:rPr>
          <w:rFonts w:hint="eastAsia" w:ascii="宋体" w:hAnsi="宋体" w:cs="宋体"/>
          <w:szCs w:val="21"/>
        </w:rPr>
      </w:pPr>
      <w:r>
        <w:rPr>
          <w:rFonts w:hint="eastAsia" w:ascii="宋体" w:hAnsi="宋体" w:cs="宋体"/>
          <w:color w:val="000000"/>
          <w:szCs w:val="21"/>
          <w:highlight w:val="white"/>
        </w:rPr>
        <w:t>2.1 质量保修期从合同工程实际竣工之日算起。单项竣工验收的工程，按单项工程分别计算质量保修期。</w:t>
      </w:r>
    </w:p>
    <w:p>
      <w:pPr>
        <w:spacing w:line="360" w:lineRule="auto"/>
        <w:rPr>
          <w:rFonts w:hint="eastAsia" w:ascii="宋体" w:hAnsi="宋体" w:cs="宋体"/>
          <w:szCs w:val="21"/>
        </w:rPr>
      </w:pPr>
      <w:r>
        <w:rPr>
          <w:rFonts w:hint="eastAsia" w:ascii="宋体" w:hAnsi="宋体" w:cs="宋体"/>
          <w:color w:val="000000"/>
          <w:szCs w:val="21"/>
          <w:highlight w:val="white"/>
        </w:rPr>
        <w:t>2.2 合同工程质量保修期，合同双方当事人约定如下：</w:t>
      </w:r>
    </w:p>
    <w:p>
      <w:pPr>
        <w:numPr>
          <w:ilvl w:val="0"/>
          <w:numId w:val="21"/>
        </w:numPr>
        <w:spacing w:line="360" w:lineRule="auto"/>
        <w:rPr>
          <w:rFonts w:hint="eastAsia" w:ascii="宋体" w:hAnsi="宋体" w:cs="宋体"/>
          <w:szCs w:val="21"/>
        </w:rPr>
      </w:pPr>
      <w:r>
        <w:rPr>
          <w:rFonts w:hint="eastAsia" w:ascii="宋体" w:hAnsi="宋体" w:cs="宋体"/>
          <w:bCs/>
          <w:color w:val="000000"/>
          <w:szCs w:val="21"/>
          <w:highlight w:val="white"/>
        </w:rPr>
        <w:t>地基基础和</w:t>
      </w:r>
      <w:r>
        <w:rPr>
          <w:rFonts w:hint="eastAsia" w:ascii="宋体" w:hAnsi="宋体" w:cs="宋体"/>
          <w:szCs w:val="21"/>
        </w:rPr>
        <w:fldChar w:fldCharType="begin"/>
      </w:r>
      <w:r>
        <w:rPr>
          <w:rFonts w:hint="eastAsia" w:ascii="宋体" w:hAnsi="宋体" w:cs="宋体"/>
          <w:color w:val="000000"/>
          <w:szCs w:val="21"/>
          <w:highlight w:val="white"/>
        </w:rPr>
        <w:instrText xml:space="preserve"> HYPERLINK "http://baike.baidu.com/view/3930570.htm" \t "_blank" </w:instrText>
      </w:r>
      <w:r>
        <w:rPr>
          <w:rFonts w:hint="eastAsia" w:ascii="宋体" w:hAnsi="宋体" w:cs="宋体"/>
          <w:szCs w:val="21"/>
        </w:rPr>
        <w:fldChar w:fldCharType="separate"/>
      </w:r>
      <w:r>
        <w:rPr>
          <w:rStyle w:val="27"/>
          <w:rFonts w:hint="eastAsia" w:ascii="宋体" w:hAnsi="宋体" w:cs="宋体"/>
          <w:bCs/>
          <w:color w:val="000000"/>
          <w:szCs w:val="21"/>
          <w:highlight w:val="white"/>
        </w:rPr>
        <w:t>主体结构工程</w:t>
      </w:r>
      <w:r>
        <w:rPr>
          <w:rFonts w:hint="eastAsia" w:ascii="宋体" w:hAnsi="宋体" w:cs="宋体"/>
          <w:szCs w:val="21"/>
        </w:rPr>
        <w:fldChar w:fldCharType="end"/>
      </w:r>
      <w:r>
        <w:rPr>
          <w:rFonts w:hint="eastAsia" w:ascii="宋体" w:hAnsi="宋体" w:cs="宋体"/>
          <w:bCs/>
          <w:color w:val="000000"/>
          <w:szCs w:val="21"/>
          <w:highlight w:val="white"/>
        </w:rPr>
        <w:t>，为设计文件规定的该工程的合理使用年限；</w:t>
      </w:r>
    </w:p>
    <w:p>
      <w:pPr>
        <w:numPr>
          <w:ilvl w:val="0"/>
          <w:numId w:val="21"/>
        </w:numPr>
        <w:spacing w:line="360" w:lineRule="auto"/>
        <w:rPr>
          <w:rFonts w:hint="eastAsia" w:ascii="宋体" w:hAnsi="宋体" w:cs="宋体"/>
          <w:szCs w:val="21"/>
        </w:rPr>
      </w:pPr>
      <w:r>
        <w:rPr>
          <w:rFonts w:hint="eastAsia" w:ascii="宋体" w:hAnsi="宋体" w:cs="宋体"/>
          <w:bCs/>
          <w:color w:val="000000"/>
          <w:szCs w:val="21"/>
          <w:highlight w:val="white"/>
        </w:rPr>
        <w:t>有防水要求的卫生间、房间的防渗漏，为5年；</w:t>
      </w:r>
    </w:p>
    <w:p>
      <w:pPr>
        <w:numPr>
          <w:ilvl w:val="0"/>
          <w:numId w:val="21"/>
        </w:numPr>
        <w:spacing w:line="360" w:lineRule="auto"/>
        <w:rPr>
          <w:rFonts w:hint="eastAsia" w:ascii="宋体" w:hAnsi="宋体" w:cs="宋体"/>
          <w:szCs w:val="21"/>
        </w:rPr>
      </w:pPr>
      <w:r>
        <w:rPr>
          <w:rFonts w:hint="eastAsia" w:ascii="宋体" w:hAnsi="宋体" w:cs="宋体"/>
          <w:bCs/>
          <w:color w:val="000000"/>
          <w:szCs w:val="21"/>
          <w:highlight w:val="white"/>
        </w:rPr>
        <w:t>装修及机电安装工程为2年。</w:t>
      </w:r>
    </w:p>
    <w:p>
      <w:pPr>
        <w:spacing w:line="360" w:lineRule="auto"/>
        <w:rPr>
          <w:rFonts w:hint="eastAsia" w:ascii="宋体" w:hAnsi="宋体" w:cs="宋体"/>
          <w:szCs w:val="21"/>
        </w:rPr>
      </w:pPr>
      <w:r>
        <w:rPr>
          <w:rFonts w:hint="eastAsia" w:ascii="宋体" w:hAnsi="宋体" w:cs="宋体"/>
          <w:color w:val="000000"/>
          <w:szCs w:val="21"/>
          <w:highlight w:val="white"/>
        </w:rPr>
        <w:t>3． 质量保修责任</w:t>
      </w:r>
    </w:p>
    <w:p>
      <w:pPr>
        <w:spacing w:line="360" w:lineRule="auto"/>
        <w:rPr>
          <w:rFonts w:hint="eastAsia" w:ascii="宋体" w:hAnsi="宋体" w:cs="宋体"/>
          <w:szCs w:val="21"/>
        </w:rPr>
      </w:pPr>
      <w:r>
        <w:rPr>
          <w:rFonts w:hint="eastAsia" w:ascii="宋体" w:hAnsi="宋体" w:cs="宋体"/>
          <w:color w:val="000000"/>
          <w:szCs w:val="21"/>
          <w:highlight w:val="white"/>
        </w:rPr>
        <w:t>3.1</w:t>
      </w:r>
      <w:r>
        <w:rPr>
          <w:rFonts w:hint="eastAsia" w:ascii="宋体" w:hAnsi="宋体" w:cs="宋体"/>
          <w:color w:val="000000"/>
          <w:szCs w:val="21"/>
          <w:highlight w:val="white"/>
        </w:rPr>
        <w:tab/>
      </w:r>
      <w:r>
        <w:rPr>
          <w:rFonts w:hint="eastAsia" w:ascii="宋体" w:hAnsi="宋体" w:cs="宋体"/>
          <w:color w:val="000000"/>
          <w:szCs w:val="21"/>
          <w:highlight w:val="white"/>
        </w:rPr>
        <w:t>属于保修范围的项目，承包人应在接到发包人通知后的</w:t>
      </w:r>
      <w:r>
        <w:rPr>
          <w:rFonts w:hint="eastAsia" w:ascii="宋体" w:hAnsi="宋体" w:cs="宋体"/>
          <w:color w:val="000000"/>
          <w:szCs w:val="21"/>
          <w:highlight w:val="white"/>
          <w:lang w:val="en-US" w:eastAsia="zh-CN"/>
        </w:rPr>
        <w:t>3</w:t>
      </w:r>
      <w:r>
        <w:rPr>
          <w:rFonts w:hint="eastAsia" w:ascii="宋体" w:hAnsi="宋体" w:cs="宋体"/>
          <w:color w:val="000000"/>
          <w:szCs w:val="21"/>
          <w:highlight w:val="white"/>
        </w:rPr>
        <w:t>小时内派人保修。承包人未能在规定时间内派人保修的，发包人可自行或委托第三方保修。</w:t>
      </w:r>
      <w:bookmarkStart w:id="1233" w:name="_Toc303674819"/>
      <w:bookmarkStart w:id="1234" w:name="_Toc303329385"/>
      <w:bookmarkStart w:id="1235" w:name="_Toc301446092"/>
      <w:bookmarkStart w:id="1236" w:name="_Toc303332821"/>
      <w:bookmarkStart w:id="1237" w:name="_Toc328743160"/>
      <w:bookmarkStart w:id="1238" w:name="_Toc328743312"/>
      <w:bookmarkStart w:id="1239" w:name="_Toc301431249"/>
    </w:p>
    <w:p>
      <w:pPr>
        <w:spacing w:line="360" w:lineRule="auto"/>
        <w:rPr>
          <w:rFonts w:hint="eastAsia" w:ascii="宋体" w:hAnsi="宋体" w:cs="宋体"/>
          <w:szCs w:val="21"/>
        </w:rPr>
      </w:pPr>
      <w:r>
        <w:rPr>
          <w:rFonts w:hint="eastAsia" w:ascii="宋体" w:hAnsi="宋体" w:cs="宋体"/>
          <w:color w:val="000000"/>
          <w:szCs w:val="21"/>
          <w:highlight w:val="white"/>
        </w:rPr>
        <w:t>3.2</w:t>
      </w:r>
      <w:r>
        <w:rPr>
          <w:rFonts w:hint="eastAsia" w:ascii="宋体" w:hAnsi="宋体" w:cs="宋体"/>
          <w:color w:val="000000"/>
          <w:szCs w:val="21"/>
          <w:highlight w:val="white"/>
        </w:rPr>
        <w:tab/>
      </w:r>
      <w:r>
        <w:rPr>
          <w:rFonts w:hint="eastAsia" w:ascii="宋体" w:hAnsi="宋体" w:cs="宋体"/>
          <w:color w:val="000000"/>
          <w:szCs w:val="21"/>
          <w:highlight w:val="white"/>
        </w:rPr>
        <w:t>发生紧急抢修事故的，承包人在接到通知后，应立即到达事故现场抢修。</w:t>
      </w:r>
      <w:bookmarkEnd w:id="1233"/>
      <w:bookmarkEnd w:id="1234"/>
      <w:bookmarkEnd w:id="1235"/>
      <w:bookmarkEnd w:id="1236"/>
      <w:bookmarkEnd w:id="1237"/>
      <w:bookmarkEnd w:id="1238"/>
      <w:bookmarkEnd w:id="1239"/>
    </w:p>
    <w:bookmarkEnd w:id="1232"/>
    <w:p>
      <w:pPr>
        <w:spacing w:line="360" w:lineRule="auto"/>
        <w:rPr>
          <w:rFonts w:hint="eastAsia" w:ascii="宋体" w:hAnsi="宋体" w:cs="宋体"/>
          <w:szCs w:val="21"/>
        </w:rPr>
      </w:pPr>
      <w:r>
        <w:rPr>
          <w:rFonts w:hint="eastAsia" w:ascii="宋体" w:hAnsi="宋体" w:cs="宋体"/>
          <w:szCs w:val="21"/>
        </w:rPr>
        <w:t>3.3</w:t>
      </w:r>
      <w:r>
        <w:rPr>
          <w:rFonts w:hint="eastAsia" w:ascii="宋体" w:hAnsi="宋体" w:cs="宋体"/>
          <w:szCs w:val="21"/>
        </w:rPr>
        <w:tab/>
      </w:r>
      <w:r>
        <w:rPr>
          <w:rFonts w:hint="eastAsia" w:ascii="宋体" w:hAnsi="宋体" w:cs="宋体"/>
          <w:szCs w:val="21"/>
        </w:rPr>
        <w:t>在国家规定的合理使用期限内，承包人应确保地基基础工程和主体结构的质量和安</w:t>
      </w:r>
    </w:p>
    <w:p>
      <w:pPr>
        <w:spacing w:line="360" w:lineRule="auto"/>
        <w:rPr>
          <w:rFonts w:hint="eastAsia" w:ascii="宋体" w:hAnsi="宋体" w:cs="宋体"/>
          <w:szCs w:val="21"/>
        </w:rPr>
      </w:pPr>
      <w:r>
        <w:rPr>
          <w:rFonts w:hint="eastAsia" w:ascii="宋体" w:hAnsi="宋体" w:cs="宋体"/>
          <w:szCs w:val="21"/>
        </w:rPr>
        <w:t>全。凡出现质量问题，应立即报告当地建设行政主管部门，经设计人提出保修方案后，承包人 应立即实施保修。</w:t>
      </w:r>
    </w:p>
    <w:p>
      <w:pPr>
        <w:spacing w:line="360" w:lineRule="auto"/>
        <w:rPr>
          <w:rFonts w:hint="eastAsia" w:ascii="宋体" w:hAnsi="宋体" w:cs="宋体"/>
          <w:szCs w:val="21"/>
        </w:rPr>
      </w:pPr>
      <w:r>
        <w:rPr>
          <w:rFonts w:hint="eastAsia" w:ascii="宋体" w:hAnsi="宋体" w:cs="宋体"/>
          <w:szCs w:val="21"/>
        </w:rPr>
        <w:t>3.4</w:t>
      </w:r>
      <w:r>
        <w:rPr>
          <w:rFonts w:hint="eastAsia" w:ascii="宋体" w:hAnsi="宋体" w:cs="宋体"/>
          <w:szCs w:val="21"/>
        </w:rPr>
        <w:tab/>
      </w:r>
      <w:r>
        <w:rPr>
          <w:rFonts w:hint="eastAsia" w:ascii="宋体" w:hAnsi="宋体" w:cs="宋体"/>
          <w:szCs w:val="21"/>
        </w:rPr>
        <w:t>质量保修完成后，由发包人组织验收。</w:t>
      </w:r>
    </w:p>
    <w:p>
      <w:pPr>
        <w:spacing w:line="360" w:lineRule="auto"/>
        <w:rPr>
          <w:rFonts w:hint="eastAsia" w:ascii="宋体" w:hAnsi="宋体" w:cs="宋体"/>
          <w:szCs w:val="21"/>
        </w:rPr>
      </w:pPr>
      <w:r>
        <w:rPr>
          <w:rFonts w:hint="eastAsia" w:ascii="宋体" w:hAnsi="宋体" w:cs="宋体"/>
          <w:szCs w:val="21"/>
        </w:rPr>
        <w:t>4．质量保修费用</w:t>
      </w:r>
    </w:p>
    <w:p>
      <w:pPr>
        <w:spacing w:line="360" w:lineRule="auto"/>
        <w:rPr>
          <w:rFonts w:hint="eastAsia" w:ascii="宋体" w:hAnsi="宋体" w:cs="宋体"/>
          <w:szCs w:val="21"/>
        </w:rPr>
      </w:pPr>
      <w:r>
        <w:rPr>
          <w:rFonts w:hint="eastAsia" w:ascii="宋体" w:hAnsi="宋体" w:cs="宋体"/>
          <w:szCs w:val="21"/>
        </w:rPr>
        <w:t>质量保修等费用，由责任方承担。</w:t>
      </w:r>
    </w:p>
    <w:p>
      <w:pPr>
        <w:spacing w:line="360" w:lineRule="auto"/>
        <w:rPr>
          <w:rFonts w:hint="eastAsia" w:ascii="宋体" w:hAnsi="宋体" w:cs="宋体"/>
          <w:szCs w:val="21"/>
        </w:rPr>
      </w:pPr>
      <w:r>
        <w:rPr>
          <w:rFonts w:hint="eastAsia" w:ascii="宋体" w:hAnsi="宋体" w:cs="宋体"/>
          <w:szCs w:val="21"/>
        </w:rPr>
        <w:t>5．质量保证金</w:t>
      </w:r>
    </w:p>
    <w:p>
      <w:pPr>
        <w:spacing w:line="360" w:lineRule="auto"/>
        <w:rPr>
          <w:rFonts w:hint="eastAsia" w:ascii="宋体" w:hAnsi="宋体" w:cs="宋体"/>
          <w:szCs w:val="21"/>
        </w:rPr>
      </w:pPr>
      <w:r>
        <w:rPr>
          <w:rFonts w:hint="eastAsia" w:ascii="宋体" w:hAnsi="宋体" w:cs="宋体"/>
          <w:szCs w:val="21"/>
        </w:rPr>
        <w:t>质量保证金的约定、支付和使用与本合同第二部分《通用条款》第 84 条赋予的规定一致。</w:t>
      </w:r>
    </w:p>
    <w:p>
      <w:pPr>
        <w:spacing w:line="360" w:lineRule="auto"/>
        <w:rPr>
          <w:rFonts w:hint="eastAsia" w:ascii="宋体" w:hAnsi="宋体" w:cs="宋体"/>
          <w:szCs w:val="21"/>
        </w:rPr>
      </w:pPr>
      <w:r>
        <w:rPr>
          <w:rFonts w:hint="eastAsia" w:ascii="宋体" w:hAnsi="宋体" w:cs="宋体"/>
          <w:szCs w:val="21"/>
        </w:rPr>
        <w:t>6．其他</w:t>
      </w:r>
    </w:p>
    <w:p>
      <w:pPr>
        <w:spacing w:line="360" w:lineRule="auto"/>
        <w:rPr>
          <w:rFonts w:hint="eastAsia" w:ascii="宋体" w:hAnsi="宋体" w:cs="宋体"/>
          <w:szCs w:val="21"/>
        </w:rPr>
      </w:pPr>
      <w:r>
        <w:rPr>
          <w:rFonts w:hint="eastAsia" w:ascii="宋体" w:hAnsi="宋体" w:cs="宋体"/>
          <w:szCs w:val="21"/>
        </w:rPr>
        <w:t>6.1 合同双方当事人约定的其他质量保修事项：</w:t>
      </w:r>
    </w:p>
    <w:p>
      <w:pPr>
        <w:spacing w:line="360" w:lineRule="auto"/>
        <w:rPr>
          <w:rFonts w:hint="eastAsia" w:ascii="宋体" w:hAnsi="宋体" w:cs="宋体"/>
          <w:szCs w:val="21"/>
        </w:rPr>
      </w:pPr>
      <w:r>
        <w:rPr>
          <w:rFonts w:hint="eastAsia" w:ascii="宋体" w:hAnsi="宋体" w:cs="宋体"/>
          <w:szCs w:val="21"/>
        </w:rPr>
        <w:t>6.2</w:t>
      </w:r>
      <w:r>
        <w:rPr>
          <w:rFonts w:hint="eastAsia" w:ascii="宋体" w:hAnsi="宋体" w:cs="宋体"/>
          <w:szCs w:val="21"/>
        </w:rPr>
        <w:tab/>
      </w:r>
      <w:r>
        <w:rPr>
          <w:rFonts w:hint="eastAsia" w:ascii="宋体" w:hAnsi="宋体" w:cs="宋体"/>
          <w:szCs w:val="21"/>
        </w:rPr>
        <w:t>本质量保修书，由合同双方当事人在承包人向发包人提交竣工验收申请报告时签署， 作为本合同的附件。</w:t>
      </w:r>
    </w:p>
    <w:p>
      <w:pPr>
        <w:spacing w:line="360" w:lineRule="auto"/>
        <w:rPr>
          <w:rFonts w:hint="eastAsia" w:ascii="宋体" w:hAnsi="宋体" w:cs="宋体"/>
          <w:szCs w:val="21"/>
        </w:rPr>
      </w:pPr>
      <w:r>
        <w:rPr>
          <w:rFonts w:hint="eastAsia" w:ascii="宋体" w:hAnsi="宋体" w:cs="宋体"/>
          <w:szCs w:val="21"/>
        </w:rPr>
        <w:t>6.3 本质量保修书，自合同双方当事人签署之日起生效，至质量保修期满后失效。</w:t>
      </w: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发 包 人 （公章）：                     承 包 人（公章）：</w:t>
      </w:r>
    </w:p>
    <w:p>
      <w:pPr>
        <w:spacing w:line="360" w:lineRule="auto"/>
        <w:rPr>
          <w:rFonts w:hint="eastAsia" w:ascii="宋体" w:hAnsi="宋体" w:cs="宋体"/>
          <w:szCs w:val="21"/>
        </w:rPr>
      </w:pPr>
      <w:r>
        <w:rPr>
          <w:rFonts w:hint="eastAsia" w:ascii="宋体" w:hAnsi="宋体" w:cs="宋体"/>
          <w:szCs w:val="21"/>
        </w:rPr>
        <w:t>法定代表人（签字）：                    法定代表人（签字）：</w:t>
      </w:r>
    </w:p>
    <w:p>
      <w:pPr>
        <w:spacing w:line="360" w:lineRule="auto"/>
        <w:rPr>
          <w:rFonts w:hint="eastAsia" w:ascii="宋体" w:hAnsi="宋体" w:cs="宋体"/>
          <w:szCs w:val="21"/>
        </w:rPr>
      </w:pPr>
      <w:r>
        <w:rPr>
          <w:rFonts w:hint="eastAsia" w:ascii="宋体" w:hAnsi="宋体" w:cs="宋体"/>
          <w:szCs w:val="21"/>
        </w:rPr>
        <w:t>年    月    日                         年    月    日</w:t>
      </w: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 xml:space="preserve">                                </w:t>
      </w: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pageBreakBefore/>
        <w:spacing w:line="360" w:lineRule="auto"/>
        <w:rPr>
          <w:rFonts w:hint="eastAsia" w:ascii="宋体" w:hAnsi="宋体" w:cs="宋体"/>
          <w:b/>
          <w:szCs w:val="21"/>
        </w:rPr>
      </w:pPr>
      <w:r>
        <w:rPr>
          <w:rFonts w:hint="eastAsia" w:ascii="宋体" w:hAnsi="宋体" w:cs="宋体"/>
          <w:b/>
          <w:szCs w:val="21"/>
        </w:rPr>
        <w:t>附件二</w:t>
      </w:r>
    </w:p>
    <w:p>
      <w:pPr>
        <w:spacing w:line="360" w:lineRule="auto"/>
        <w:jc w:val="center"/>
        <w:rPr>
          <w:rFonts w:hint="eastAsia" w:ascii="宋体" w:hAnsi="宋体" w:cs="宋体"/>
          <w:b/>
          <w:szCs w:val="21"/>
        </w:rPr>
      </w:pPr>
      <w:r>
        <w:rPr>
          <w:rFonts w:hint="eastAsia" w:ascii="宋体" w:hAnsi="宋体" w:cs="宋体"/>
          <w:b/>
          <w:szCs w:val="21"/>
        </w:rPr>
        <w:t>廉 政 合 同</w:t>
      </w:r>
    </w:p>
    <w:p>
      <w:pPr>
        <w:autoSpaceDE w:val="0"/>
        <w:autoSpaceDN w:val="0"/>
        <w:adjustRightInd w:val="0"/>
        <w:spacing w:line="360" w:lineRule="auto"/>
        <w:jc w:val="left"/>
        <w:rPr>
          <w:rFonts w:hint="eastAsia" w:ascii="宋体" w:hAnsi="宋体" w:cs="宋体"/>
          <w:kern w:val="0"/>
          <w:szCs w:val="21"/>
        </w:rPr>
      </w:pPr>
    </w:p>
    <w:p>
      <w:pPr>
        <w:spacing w:line="360" w:lineRule="auto"/>
        <w:rPr>
          <w:rFonts w:hint="eastAsia" w:ascii="宋体" w:hAnsi="宋体" w:cs="宋体"/>
          <w:szCs w:val="21"/>
        </w:rPr>
      </w:pPr>
      <w:r>
        <w:rPr>
          <w:rFonts w:hint="eastAsia" w:ascii="宋体" w:hAnsi="宋体" w:cs="宋体"/>
          <w:szCs w:val="21"/>
        </w:rPr>
        <w:t xml:space="preserve">发包人：（全称） </w:t>
      </w:r>
      <w:r>
        <w:rPr>
          <w:rFonts w:hint="eastAsia" w:ascii="宋体" w:hAnsi="宋体" w:cs="宋体"/>
          <w:szCs w:val="21"/>
          <w:u w:val="dotted"/>
          <w:lang w:eastAsia="zh-CN"/>
        </w:rPr>
        <w:t>佛山市公安局</w:t>
      </w:r>
      <w:r>
        <w:rPr>
          <w:rFonts w:hint="eastAsia" w:ascii="宋体" w:hAnsi="宋体" w:cs="宋体"/>
          <w:szCs w:val="21"/>
          <w:u w:val="dotted"/>
        </w:rPr>
        <w:t xml:space="preserve"> </w:t>
      </w:r>
    </w:p>
    <w:p>
      <w:pPr>
        <w:spacing w:line="360" w:lineRule="auto"/>
        <w:rPr>
          <w:rFonts w:hint="eastAsia" w:ascii="宋体" w:hAnsi="宋体" w:cs="宋体"/>
          <w:szCs w:val="21"/>
          <w:u w:val="dotted"/>
        </w:rPr>
      </w:pPr>
      <w:r>
        <w:rPr>
          <w:rFonts w:hint="eastAsia" w:ascii="宋体" w:hAnsi="宋体" w:cs="宋体"/>
          <w:szCs w:val="21"/>
        </w:rPr>
        <w:t xml:space="preserve">承包人：（全称） </w:t>
      </w:r>
      <w:r>
        <w:rPr>
          <w:rFonts w:hint="eastAsia" w:ascii="宋体" w:hAnsi="宋体" w:cs="宋体"/>
          <w:szCs w:val="21"/>
          <w:u w:val="dotted"/>
        </w:rPr>
        <w:tab/>
      </w:r>
      <w:r>
        <w:rPr>
          <w:rFonts w:hint="eastAsia" w:ascii="宋体" w:hAnsi="宋体" w:cs="宋体"/>
          <w:szCs w:val="21"/>
          <w:u w:val="dotted"/>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根据国家、省有关廉政建设的规定，为做好合同工程的廉政建设，保证工程质量与施工安全，提高建设资金的有效使用和投资效益，合同双方当事人就加强合同工程的廉政建设，订立本合同。</w:t>
      </w:r>
    </w:p>
    <w:p>
      <w:pPr>
        <w:spacing w:line="360" w:lineRule="auto"/>
        <w:rPr>
          <w:rFonts w:hint="eastAsia"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双方权利和义务</w:t>
      </w:r>
    </w:p>
    <w:p>
      <w:pPr>
        <w:spacing w:line="360" w:lineRule="auto"/>
        <w:rPr>
          <w:rFonts w:hint="eastAsia" w:ascii="宋体" w:hAnsi="宋体" w:cs="宋体"/>
          <w:szCs w:val="21"/>
        </w:rPr>
      </w:pPr>
      <w:r>
        <w:rPr>
          <w:rFonts w:hint="eastAsia" w:ascii="宋体" w:hAnsi="宋体" w:cs="宋体"/>
          <w:szCs w:val="21"/>
        </w:rPr>
        <w:t>1.1</w:t>
      </w:r>
      <w:r>
        <w:rPr>
          <w:rFonts w:hint="eastAsia" w:ascii="宋体" w:hAnsi="宋体" w:cs="宋体"/>
          <w:szCs w:val="21"/>
        </w:rPr>
        <w:tab/>
      </w:r>
      <w:r>
        <w:rPr>
          <w:rFonts w:hint="eastAsia" w:ascii="宋体" w:hAnsi="宋体" w:cs="宋体"/>
          <w:szCs w:val="21"/>
        </w:rPr>
        <w:t>严格遵守国家、省有关法律法规的规定。</w:t>
      </w:r>
    </w:p>
    <w:p>
      <w:pPr>
        <w:spacing w:line="360" w:lineRule="auto"/>
        <w:rPr>
          <w:rFonts w:hint="eastAsia" w:ascii="宋体" w:hAnsi="宋体" w:cs="宋体"/>
          <w:szCs w:val="21"/>
        </w:rPr>
      </w:pPr>
      <w:r>
        <w:rPr>
          <w:rFonts w:hint="eastAsia" w:ascii="宋体" w:hAnsi="宋体" w:cs="宋体"/>
          <w:szCs w:val="21"/>
        </w:rPr>
        <w:t>1.2</w:t>
      </w:r>
      <w:r>
        <w:rPr>
          <w:rFonts w:hint="eastAsia" w:ascii="宋体" w:hAnsi="宋体" w:cs="宋体"/>
          <w:szCs w:val="21"/>
        </w:rPr>
        <w:tab/>
      </w:r>
      <w:r>
        <w:rPr>
          <w:rFonts w:hint="eastAsia" w:ascii="宋体" w:hAnsi="宋体" w:cs="宋体"/>
          <w:szCs w:val="21"/>
        </w:rPr>
        <w:t>严格执行合同工程一切合同文件，自觉按合同办事。</w:t>
      </w:r>
    </w:p>
    <w:p>
      <w:pPr>
        <w:spacing w:line="360" w:lineRule="auto"/>
        <w:rPr>
          <w:rFonts w:hint="eastAsia" w:ascii="宋体" w:hAnsi="宋体" w:cs="宋体"/>
          <w:szCs w:val="21"/>
        </w:rPr>
      </w:pPr>
      <w:r>
        <w:rPr>
          <w:rFonts w:hint="eastAsia" w:ascii="宋体" w:hAnsi="宋体" w:cs="宋体"/>
          <w:szCs w:val="21"/>
        </w:rPr>
        <w:t>1.3</w:t>
      </w:r>
      <w:r>
        <w:rPr>
          <w:rFonts w:hint="eastAsia" w:ascii="宋体" w:hAnsi="宋体" w:cs="宋体"/>
          <w:szCs w:val="21"/>
        </w:rPr>
        <w:tab/>
      </w:r>
      <w:r>
        <w:rPr>
          <w:rFonts w:hint="eastAsia" w:ascii="宋体" w:hAnsi="宋体" w:cs="宋体"/>
          <w:szCs w:val="21"/>
        </w:rPr>
        <w:t>合同双方当事人的业务活动应坚持公平、公开、公正和诚信的原则（法律认定的商业秘密和合同文件另有规定除外），不得损害国家和集体利益，不得违反工程建设管理规章制度。</w:t>
      </w:r>
    </w:p>
    <w:p>
      <w:pPr>
        <w:spacing w:line="360" w:lineRule="auto"/>
        <w:rPr>
          <w:rFonts w:hint="eastAsia" w:ascii="宋体" w:hAnsi="宋体" w:cs="宋体"/>
          <w:szCs w:val="21"/>
        </w:rPr>
      </w:pPr>
      <w:r>
        <w:rPr>
          <w:rFonts w:hint="eastAsia" w:ascii="宋体" w:hAnsi="宋体" w:cs="宋体"/>
          <w:szCs w:val="21"/>
        </w:rPr>
        <w:t>1.4</w:t>
      </w:r>
      <w:r>
        <w:rPr>
          <w:rFonts w:hint="eastAsia" w:ascii="宋体" w:hAnsi="宋体" w:cs="宋体"/>
          <w:szCs w:val="21"/>
        </w:rPr>
        <w:tab/>
      </w:r>
      <w:r>
        <w:rPr>
          <w:rFonts w:hint="eastAsia" w:ascii="宋体" w:hAnsi="宋体" w:cs="宋体"/>
          <w:szCs w:val="21"/>
        </w:rPr>
        <w:t>建立健全廉政制度，开展廉政教育，设立廉政告示牌，公布举报电话，监督并认真查处违法违纪行为。</w:t>
      </w:r>
    </w:p>
    <w:p>
      <w:pPr>
        <w:spacing w:line="360" w:lineRule="auto"/>
        <w:rPr>
          <w:rFonts w:hint="eastAsia" w:ascii="宋体" w:hAnsi="宋体" w:cs="宋体"/>
          <w:szCs w:val="21"/>
        </w:rPr>
      </w:pPr>
      <w:r>
        <w:rPr>
          <w:rFonts w:hint="eastAsia" w:ascii="宋体" w:hAnsi="宋体" w:cs="宋体"/>
          <w:szCs w:val="21"/>
        </w:rPr>
        <w:t>1.5</w:t>
      </w:r>
      <w:r>
        <w:rPr>
          <w:rFonts w:hint="eastAsia" w:ascii="宋体" w:hAnsi="宋体" w:cs="宋体"/>
          <w:szCs w:val="21"/>
        </w:rPr>
        <w:tab/>
      </w:r>
      <w:r>
        <w:rPr>
          <w:rFonts w:hint="eastAsia" w:ascii="宋体" w:hAnsi="宋体" w:cs="宋体"/>
          <w:szCs w:val="21"/>
        </w:rPr>
        <w:t>发现对方在业务活动中有违反廉政建设规定的行为，应及时给予提醒和纠正。</w:t>
      </w:r>
    </w:p>
    <w:p>
      <w:pPr>
        <w:spacing w:line="360" w:lineRule="auto"/>
        <w:rPr>
          <w:rFonts w:hint="eastAsia" w:ascii="宋体" w:hAnsi="宋体" w:cs="宋体"/>
          <w:szCs w:val="21"/>
        </w:rPr>
      </w:pPr>
      <w:r>
        <w:rPr>
          <w:rFonts w:hint="eastAsia" w:ascii="宋体" w:hAnsi="宋体" w:cs="宋体"/>
          <w:szCs w:val="21"/>
        </w:rPr>
        <w:t>1.6</w:t>
      </w:r>
      <w:r>
        <w:rPr>
          <w:rFonts w:hint="eastAsia" w:ascii="宋体" w:hAnsi="宋体" w:cs="宋体"/>
          <w:szCs w:val="21"/>
        </w:rPr>
        <w:tab/>
      </w:r>
      <w:r>
        <w:rPr>
          <w:rFonts w:hint="eastAsia" w:ascii="宋体" w:hAnsi="宋体" w:cs="宋体"/>
          <w:szCs w:val="21"/>
        </w:rPr>
        <w:t>发现对方严重违反合同的行为，有向其上级部门举报、建议给予处理并要求告知处理结果的权利。没有上级部门的，可按本合同第二部分《通用条款》第 87 条规定处理。</w:t>
      </w:r>
    </w:p>
    <w:p>
      <w:pPr>
        <w:spacing w:line="360" w:lineRule="auto"/>
        <w:rPr>
          <w:rFonts w:hint="eastAsia"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发包人义务</w:t>
      </w:r>
    </w:p>
    <w:p>
      <w:pPr>
        <w:spacing w:line="360" w:lineRule="auto"/>
        <w:rPr>
          <w:rFonts w:hint="eastAsia" w:ascii="宋体" w:hAnsi="宋体" w:cs="宋体"/>
          <w:szCs w:val="21"/>
        </w:rPr>
      </w:pPr>
      <w:r>
        <w:rPr>
          <w:rFonts w:hint="eastAsia" w:ascii="宋体" w:hAnsi="宋体" w:cs="宋体"/>
          <w:szCs w:val="21"/>
        </w:rPr>
        <w:t>2.1</w:t>
      </w:r>
      <w:r>
        <w:rPr>
          <w:rFonts w:hint="eastAsia" w:ascii="宋体" w:hAnsi="宋体" w:cs="宋体"/>
          <w:szCs w:val="21"/>
        </w:rPr>
        <w:tab/>
      </w:r>
      <w:r>
        <w:rPr>
          <w:rFonts w:hint="eastAsia" w:ascii="宋体" w:hAnsi="宋体" w:cs="宋体"/>
          <w:szCs w:val="21"/>
        </w:rPr>
        <w:t>发包人及其工作人员不得索取或接受承包人的礼金、有价证券和贵重物品，不得在承包人报销任何应由发包人或其工作人员个人支付的费用。</w:t>
      </w:r>
    </w:p>
    <w:p>
      <w:pPr>
        <w:spacing w:line="360" w:lineRule="auto"/>
        <w:rPr>
          <w:rFonts w:hint="eastAsia" w:ascii="宋体" w:hAnsi="宋体" w:cs="宋体"/>
          <w:szCs w:val="21"/>
        </w:rPr>
      </w:pPr>
      <w:r>
        <w:rPr>
          <w:rFonts w:hint="eastAsia" w:ascii="宋体" w:hAnsi="宋体" w:cs="宋体"/>
          <w:szCs w:val="21"/>
        </w:rPr>
        <w:t>2.2</w:t>
      </w:r>
      <w:r>
        <w:rPr>
          <w:rFonts w:hint="eastAsia" w:ascii="宋体" w:hAnsi="宋体" w:cs="宋体"/>
          <w:szCs w:val="21"/>
        </w:rPr>
        <w:tab/>
      </w:r>
      <w:r>
        <w:rPr>
          <w:rFonts w:hint="eastAsia" w:ascii="宋体" w:hAnsi="宋体" w:cs="宋体"/>
          <w:szCs w:val="21"/>
        </w:rPr>
        <w:t>发包人及其工作人员不得参加承包人安排的宴请（工作餐除外）和娱乐活动，不得接受承包人提供的通讯、交通工具和高档办公用品等物品。</w:t>
      </w:r>
    </w:p>
    <w:p>
      <w:pPr>
        <w:spacing w:line="360" w:lineRule="auto"/>
        <w:rPr>
          <w:rFonts w:hint="eastAsia" w:ascii="宋体" w:hAnsi="宋体" w:cs="宋体"/>
          <w:szCs w:val="21"/>
        </w:rPr>
      </w:pPr>
      <w:r>
        <w:rPr>
          <w:rFonts w:hint="eastAsia" w:ascii="宋体" w:hAnsi="宋体" w:cs="宋体"/>
          <w:szCs w:val="21"/>
        </w:rPr>
        <w:t>2.3</w:t>
      </w:r>
      <w:r>
        <w:rPr>
          <w:rFonts w:hint="eastAsia" w:ascii="宋体" w:hAnsi="宋体" w:cs="宋体"/>
          <w:szCs w:val="21"/>
        </w:rPr>
        <w:tab/>
      </w:r>
      <w:r>
        <w:rPr>
          <w:rFonts w:hint="eastAsia" w:ascii="宋体" w:hAnsi="宋体" w:cs="宋体"/>
          <w:szCs w:val="21"/>
        </w:rPr>
        <w:t>发包人及其工作人员不得要求或者接受承包人为其住房装修、婚丧嫁娶活动、配偶子女工作安排以及出国出境、旅游等提供方便。</w:t>
      </w:r>
    </w:p>
    <w:p>
      <w:pPr>
        <w:spacing w:line="360" w:lineRule="auto"/>
        <w:rPr>
          <w:rFonts w:hint="eastAsia" w:ascii="宋体" w:hAnsi="宋体" w:cs="宋体"/>
          <w:szCs w:val="21"/>
        </w:rPr>
      </w:pPr>
      <w:r>
        <w:rPr>
          <w:rFonts w:hint="eastAsia" w:ascii="宋体" w:hAnsi="宋体" w:cs="宋体"/>
          <w:szCs w:val="21"/>
        </w:rPr>
        <w:t>2.4 发包人及其工作人员不得以任何理由向承包人推荐分包人、推销材料和工程设备，不得要求承包人购买合同以外的材料和工程设备。</w:t>
      </w:r>
    </w:p>
    <w:p>
      <w:pPr>
        <w:spacing w:line="360" w:lineRule="auto"/>
        <w:rPr>
          <w:rFonts w:hint="eastAsia" w:ascii="宋体" w:hAnsi="宋体" w:cs="宋体"/>
          <w:szCs w:val="21"/>
        </w:rPr>
      </w:pPr>
      <w:r>
        <w:rPr>
          <w:rFonts w:hint="eastAsia" w:ascii="宋体" w:hAnsi="宋体" w:cs="宋体"/>
          <w:szCs w:val="21"/>
        </w:rPr>
        <w:t>2.5</w:t>
      </w:r>
      <w:r>
        <w:rPr>
          <w:rFonts w:hint="eastAsia" w:ascii="宋体" w:hAnsi="宋体" w:cs="宋体"/>
          <w:szCs w:val="21"/>
        </w:rPr>
        <w:tab/>
      </w:r>
      <w:r>
        <w:rPr>
          <w:rFonts w:hint="eastAsia" w:ascii="宋体" w:hAnsi="宋体" w:cs="宋体"/>
          <w:szCs w:val="21"/>
        </w:rPr>
        <w:t>发包人及其工作人员要秉公办事，不准营私舞弊，不准利用职权私自为合同工程安排施工队伍，也不得从事与合同工程有关的各种有偿中介活动。</w:t>
      </w:r>
    </w:p>
    <w:p>
      <w:pPr>
        <w:spacing w:line="360" w:lineRule="auto"/>
        <w:rPr>
          <w:rFonts w:hint="eastAsia" w:ascii="宋体" w:hAnsi="宋体" w:cs="宋体"/>
          <w:szCs w:val="21"/>
        </w:rPr>
      </w:pPr>
      <w:r>
        <w:rPr>
          <w:rFonts w:hint="eastAsia" w:ascii="宋体" w:hAnsi="宋体" w:cs="宋体"/>
          <w:szCs w:val="21"/>
        </w:rPr>
        <w:t>2.6 发包人及其工作人员（含其配偶、子女）不得从事与合同工程有关的材料和工程设备供应、工程分包、劳务等经济活动。</w:t>
      </w:r>
    </w:p>
    <w:p>
      <w:pPr>
        <w:spacing w:line="360" w:lineRule="auto"/>
        <w:rPr>
          <w:rFonts w:hint="eastAsia"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承包人义务</w:t>
      </w:r>
    </w:p>
    <w:p>
      <w:pPr>
        <w:spacing w:line="360" w:lineRule="auto"/>
        <w:rPr>
          <w:rFonts w:hint="eastAsia" w:ascii="宋体" w:hAnsi="宋体" w:cs="宋体"/>
          <w:szCs w:val="21"/>
        </w:rPr>
      </w:pPr>
      <w:r>
        <w:rPr>
          <w:rFonts w:hint="eastAsia" w:ascii="宋体" w:hAnsi="宋体" w:cs="宋体"/>
          <w:szCs w:val="21"/>
        </w:rPr>
        <w:t>3.1</w:t>
      </w:r>
      <w:r>
        <w:rPr>
          <w:rFonts w:hint="eastAsia" w:ascii="宋体" w:hAnsi="宋体" w:cs="宋体"/>
          <w:szCs w:val="21"/>
        </w:rPr>
        <w:tab/>
      </w:r>
      <w:r>
        <w:rPr>
          <w:rFonts w:hint="eastAsia" w:ascii="宋体" w:hAnsi="宋体" w:cs="宋体"/>
          <w:szCs w:val="21"/>
        </w:rPr>
        <w:t>承包人不得以任何理由向发包人及其工作人员行贿或馈赠礼金、有价证券、贵重礼品。</w:t>
      </w:r>
    </w:p>
    <w:p>
      <w:pPr>
        <w:spacing w:line="360" w:lineRule="auto"/>
        <w:rPr>
          <w:rFonts w:hint="eastAsia" w:ascii="宋体" w:hAnsi="宋体" w:cs="宋体"/>
          <w:szCs w:val="21"/>
        </w:rPr>
      </w:pPr>
      <w:r>
        <w:rPr>
          <w:rFonts w:hint="eastAsia" w:ascii="宋体" w:hAnsi="宋体" w:cs="宋体"/>
          <w:szCs w:val="21"/>
        </w:rPr>
        <w:t>3.2</w:t>
      </w:r>
      <w:r>
        <w:rPr>
          <w:rFonts w:hint="eastAsia" w:ascii="宋体" w:hAnsi="宋体" w:cs="宋体"/>
          <w:szCs w:val="21"/>
        </w:rPr>
        <w:tab/>
      </w:r>
      <w:r>
        <w:rPr>
          <w:rFonts w:hint="eastAsia" w:ascii="宋体" w:hAnsi="宋体" w:cs="宋体"/>
          <w:szCs w:val="21"/>
        </w:rPr>
        <w:t>承包人不得以任何名义为发包人及其工作人员报销应由发包人或其工作人员个人支付的任何费用。</w:t>
      </w:r>
    </w:p>
    <w:p>
      <w:pPr>
        <w:spacing w:line="360" w:lineRule="auto"/>
        <w:rPr>
          <w:rFonts w:hint="eastAsia" w:ascii="宋体" w:hAnsi="宋体" w:cs="宋体"/>
          <w:szCs w:val="21"/>
        </w:rPr>
      </w:pPr>
      <w:r>
        <w:rPr>
          <w:rFonts w:hint="eastAsia" w:ascii="宋体" w:hAnsi="宋体" w:cs="宋体"/>
          <w:szCs w:val="21"/>
        </w:rPr>
        <w:t>3.3</w:t>
      </w:r>
      <w:r>
        <w:rPr>
          <w:rFonts w:hint="eastAsia" w:ascii="宋体" w:hAnsi="宋体" w:cs="宋体"/>
          <w:szCs w:val="21"/>
        </w:rPr>
        <w:tab/>
      </w:r>
      <w:r>
        <w:rPr>
          <w:rFonts w:hint="eastAsia" w:ascii="宋体" w:hAnsi="宋体" w:cs="宋体"/>
          <w:szCs w:val="21"/>
        </w:rPr>
        <w:t>承包人不得以任何理由安排发包人及其工作人员参加宴请（工作餐除外）及娱乐活动。</w:t>
      </w:r>
    </w:p>
    <w:p>
      <w:pPr>
        <w:spacing w:line="360" w:lineRule="auto"/>
        <w:rPr>
          <w:rFonts w:hint="eastAsia" w:ascii="宋体" w:hAnsi="宋体" w:cs="宋体"/>
          <w:szCs w:val="21"/>
        </w:rPr>
      </w:pPr>
      <w:r>
        <w:rPr>
          <w:rFonts w:hint="eastAsia" w:ascii="宋体" w:hAnsi="宋体" w:cs="宋体"/>
          <w:szCs w:val="21"/>
        </w:rPr>
        <w:t>3.4</w:t>
      </w:r>
      <w:r>
        <w:rPr>
          <w:rFonts w:hint="eastAsia" w:ascii="宋体" w:hAnsi="宋体" w:cs="宋体"/>
          <w:szCs w:val="21"/>
        </w:rPr>
        <w:tab/>
      </w:r>
      <w:r>
        <w:rPr>
          <w:rFonts w:hint="eastAsia" w:ascii="宋体" w:hAnsi="宋体" w:cs="宋体"/>
          <w:szCs w:val="21"/>
        </w:rPr>
        <w:t>承包人不得为发包人和个人购置或提供通讯、交通工具和高档办公用品等物品。</w:t>
      </w:r>
    </w:p>
    <w:p>
      <w:pPr>
        <w:spacing w:line="360" w:lineRule="auto"/>
        <w:rPr>
          <w:rFonts w:hint="eastAsia" w:ascii="宋体" w:hAnsi="宋体" w:cs="宋体"/>
          <w:szCs w:val="21"/>
        </w:rPr>
      </w:pPr>
      <w:r>
        <w:rPr>
          <w:rFonts w:hint="eastAsia" w:ascii="宋体" w:hAnsi="宋体" w:cs="宋体"/>
          <w:szCs w:val="21"/>
        </w:rPr>
        <w:t>3.5</w:t>
      </w:r>
      <w:r>
        <w:rPr>
          <w:rFonts w:hint="eastAsia" w:ascii="宋体" w:hAnsi="宋体" w:cs="宋体"/>
          <w:szCs w:val="21"/>
        </w:rPr>
        <w:tab/>
      </w:r>
      <w:r>
        <w:rPr>
          <w:rFonts w:hint="eastAsia" w:ascii="宋体" w:hAnsi="宋体" w:cs="宋体"/>
          <w:szCs w:val="21"/>
        </w:rPr>
        <w:t>承包人不得为发包人及其工作人员的住房装修、婚丧嫁娶活动、配偶子女工作安排以及出国出境、旅游等提供方便。</w:t>
      </w:r>
    </w:p>
    <w:p>
      <w:pPr>
        <w:spacing w:line="360" w:lineRule="auto"/>
        <w:rPr>
          <w:rFonts w:hint="eastAsia"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违约责任</w:t>
      </w:r>
    </w:p>
    <w:p>
      <w:pPr>
        <w:spacing w:line="360" w:lineRule="auto"/>
        <w:rPr>
          <w:rFonts w:hint="eastAsia" w:ascii="宋体" w:hAnsi="宋体" w:cs="宋体"/>
          <w:szCs w:val="21"/>
        </w:rPr>
      </w:pPr>
      <w:r>
        <w:rPr>
          <w:rFonts w:hint="eastAsia" w:ascii="宋体" w:hAnsi="宋体" w:cs="宋体"/>
          <w:szCs w:val="21"/>
        </w:rPr>
        <w:t>4.1</w:t>
      </w:r>
      <w:r>
        <w:rPr>
          <w:rFonts w:hint="eastAsia" w:ascii="宋体" w:hAnsi="宋体" w:cs="宋体"/>
          <w:szCs w:val="21"/>
        </w:rPr>
        <w:tab/>
      </w:r>
      <w:r>
        <w:rPr>
          <w:rFonts w:hint="eastAsia" w:ascii="宋体" w:hAnsi="宋体" w:cs="宋体"/>
          <w:szCs w:val="21"/>
        </w:rPr>
        <w:t>发包人及其工作人员违反本合同第 1 条和第 2 条规定，应按照廉政建设的有关规定给予处分；涉嫌犯罪的，移交司法机关追究刑事责任；给承包人造成损失的，应予赔偿。</w:t>
      </w:r>
    </w:p>
    <w:p>
      <w:pPr>
        <w:spacing w:line="360" w:lineRule="auto"/>
        <w:rPr>
          <w:rFonts w:hint="eastAsia" w:ascii="宋体" w:hAnsi="宋体" w:cs="宋体"/>
          <w:szCs w:val="21"/>
        </w:rPr>
      </w:pPr>
      <w:r>
        <w:rPr>
          <w:rFonts w:hint="eastAsia" w:ascii="宋体" w:hAnsi="宋体" w:cs="宋体"/>
          <w:szCs w:val="21"/>
        </w:rPr>
        <w:t>4.2</w:t>
      </w:r>
      <w:r>
        <w:rPr>
          <w:rFonts w:hint="eastAsia" w:ascii="宋体" w:hAnsi="宋体" w:cs="宋体"/>
          <w:szCs w:val="21"/>
        </w:rPr>
        <w:tab/>
      </w:r>
      <w:r>
        <w:rPr>
          <w:rFonts w:hint="eastAsia" w:ascii="宋体" w:hAnsi="宋体" w:cs="宋体"/>
          <w:szCs w:val="21"/>
        </w:rPr>
        <w:t>承包人及其工作人员违反本合同第 1 条和第 3 条规定，应按照廉政建设的有关规定给予处分；情节严重的，给予承包人 1～3 年内不得进入工程建设市场的处罚；涉嫌犯罪的，移交司法机关追究刑事责任；给发包人造成损失的，应予赔偿；</w:t>
      </w:r>
    </w:p>
    <w:p>
      <w:pPr>
        <w:spacing w:line="360" w:lineRule="auto"/>
        <w:rPr>
          <w:rFonts w:hint="eastAsia" w:ascii="宋体" w:hAnsi="宋体" w:cs="宋体"/>
          <w:szCs w:val="21"/>
        </w:rPr>
      </w:pPr>
      <w:r>
        <w:rPr>
          <w:rFonts w:hint="eastAsia" w:ascii="宋体" w:hAnsi="宋体" w:cs="宋体"/>
          <w:szCs w:val="21"/>
        </w:rPr>
        <w:t>5 双方约定</w:t>
      </w:r>
    </w:p>
    <w:p>
      <w:pPr>
        <w:spacing w:line="360" w:lineRule="auto"/>
        <w:rPr>
          <w:rFonts w:hint="eastAsia" w:ascii="宋体" w:hAnsi="宋体" w:cs="宋体"/>
          <w:szCs w:val="21"/>
        </w:rPr>
      </w:pPr>
      <w:r>
        <w:rPr>
          <w:rFonts w:hint="eastAsia" w:ascii="宋体" w:hAnsi="宋体" w:cs="宋体"/>
          <w:szCs w:val="21"/>
        </w:rPr>
        <w:t>本合同由合同双方当事人或其上级部门负责监督执行，并由合同双方当事人或其上级部门相互约请对本合同执行情况进行检查。</w:t>
      </w:r>
    </w:p>
    <w:p>
      <w:pPr>
        <w:spacing w:line="360" w:lineRule="auto"/>
        <w:rPr>
          <w:rFonts w:hint="eastAsia" w:ascii="宋体" w:hAnsi="宋体" w:cs="宋体"/>
          <w:szCs w:val="21"/>
        </w:rPr>
      </w:pPr>
      <w:r>
        <w:rPr>
          <w:rFonts w:hint="eastAsia" w:ascii="宋体" w:hAnsi="宋体" w:cs="宋体"/>
          <w:szCs w:val="21"/>
        </w:rPr>
        <w:t>6</w:t>
      </w:r>
      <w:r>
        <w:rPr>
          <w:rFonts w:hint="eastAsia" w:ascii="宋体" w:hAnsi="宋体" w:cs="宋体"/>
          <w:szCs w:val="21"/>
        </w:rPr>
        <w:tab/>
      </w:r>
      <w:r>
        <w:rPr>
          <w:rFonts w:hint="eastAsia" w:ascii="宋体" w:hAnsi="宋体" w:cs="宋体"/>
          <w:szCs w:val="21"/>
        </w:rPr>
        <w:t>合同法律效力</w:t>
      </w:r>
    </w:p>
    <w:p>
      <w:pPr>
        <w:spacing w:line="360" w:lineRule="auto"/>
        <w:rPr>
          <w:rFonts w:hint="eastAsia" w:ascii="宋体" w:hAnsi="宋体" w:cs="宋体"/>
          <w:szCs w:val="21"/>
        </w:rPr>
      </w:pPr>
      <w:r>
        <w:rPr>
          <w:rFonts w:hint="eastAsia" w:ascii="宋体" w:hAnsi="宋体" w:cs="宋体"/>
          <w:szCs w:val="21"/>
        </w:rPr>
        <w:t>本合同作为合同的附件，与施工合同具有同等的法律效力。</w:t>
      </w:r>
    </w:p>
    <w:p>
      <w:pPr>
        <w:spacing w:line="360" w:lineRule="auto"/>
        <w:rPr>
          <w:rFonts w:hint="eastAsia" w:ascii="宋体" w:hAnsi="宋体" w:cs="宋体"/>
          <w:szCs w:val="21"/>
        </w:rPr>
      </w:pPr>
      <w:r>
        <w:rPr>
          <w:rFonts w:hint="eastAsia" w:ascii="宋体" w:hAnsi="宋体" w:cs="宋体"/>
          <w:szCs w:val="21"/>
        </w:rPr>
        <w:t>7</w:t>
      </w:r>
      <w:r>
        <w:rPr>
          <w:rFonts w:hint="eastAsia" w:ascii="宋体" w:hAnsi="宋体" w:cs="宋体"/>
          <w:szCs w:val="21"/>
        </w:rPr>
        <w:tab/>
      </w:r>
      <w:r>
        <w:rPr>
          <w:rFonts w:hint="eastAsia" w:ascii="宋体" w:hAnsi="宋体" w:cs="宋体"/>
          <w:szCs w:val="21"/>
        </w:rPr>
        <w:t>合同生效</w:t>
      </w:r>
    </w:p>
    <w:p>
      <w:pPr>
        <w:spacing w:line="360" w:lineRule="auto"/>
        <w:rPr>
          <w:rFonts w:hint="eastAsia" w:ascii="宋体" w:hAnsi="宋体" w:cs="宋体"/>
          <w:szCs w:val="21"/>
        </w:rPr>
      </w:pPr>
      <w:r>
        <w:rPr>
          <w:rFonts w:hint="eastAsia" w:ascii="宋体" w:hAnsi="宋体" w:cs="宋体"/>
          <w:szCs w:val="21"/>
        </w:rPr>
        <w:t>本合同自合同双方当事人签署之日起生效，至合同工程竣工验收合格之日后失效。</w:t>
      </w:r>
    </w:p>
    <w:p>
      <w:pPr>
        <w:spacing w:line="360" w:lineRule="auto"/>
        <w:rPr>
          <w:rFonts w:hint="eastAsia" w:ascii="宋体" w:hAnsi="宋体" w:cs="宋体"/>
          <w:szCs w:val="21"/>
        </w:rPr>
      </w:pPr>
      <w:r>
        <w:rPr>
          <w:rFonts w:hint="eastAsia" w:ascii="宋体" w:hAnsi="宋体" w:cs="宋体"/>
          <w:szCs w:val="21"/>
        </w:rPr>
        <w:t>8</w:t>
      </w:r>
      <w:r>
        <w:rPr>
          <w:rFonts w:hint="eastAsia" w:ascii="宋体" w:hAnsi="宋体" w:cs="宋体"/>
          <w:szCs w:val="21"/>
        </w:rPr>
        <w:tab/>
      </w:r>
      <w:r>
        <w:rPr>
          <w:rFonts w:hint="eastAsia" w:ascii="宋体" w:hAnsi="宋体" w:cs="宋体"/>
          <w:szCs w:val="21"/>
        </w:rPr>
        <w:t>合同份数</w:t>
      </w:r>
    </w:p>
    <w:p>
      <w:pPr>
        <w:spacing w:line="360" w:lineRule="auto"/>
        <w:rPr>
          <w:rFonts w:hint="eastAsia" w:ascii="宋体" w:hAnsi="宋体" w:cs="宋体"/>
          <w:szCs w:val="21"/>
        </w:rPr>
      </w:pPr>
      <w:r>
        <w:rPr>
          <w:rFonts w:hint="eastAsia" w:ascii="宋体" w:hAnsi="宋体" w:cs="宋体"/>
          <w:szCs w:val="21"/>
        </w:rPr>
        <w:t xml:space="preserve">本合同一式 </w:t>
      </w:r>
      <w:r>
        <w:rPr>
          <w:rFonts w:hint="eastAsia" w:ascii="宋体" w:hAnsi="宋体" w:cs="宋体"/>
          <w:szCs w:val="21"/>
        </w:rPr>
        <w:tab/>
      </w:r>
      <w:r>
        <w:rPr>
          <w:rFonts w:hint="eastAsia" w:ascii="宋体" w:hAnsi="宋体" w:cs="宋体"/>
          <w:szCs w:val="21"/>
        </w:rPr>
        <w:t xml:space="preserve">份，合同双方当事人各执 </w:t>
      </w:r>
      <w:r>
        <w:rPr>
          <w:rFonts w:hint="eastAsia" w:ascii="宋体" w:hAnsi="宋体" w:cs="宋体"/>
          <w:szCs w:val="21"/>
        </w:rPr>
        <w:tab/>
      </w:r>
      <w:r>
        <w:rPr>
          <w:rFonts w:hint="eastAsia" w:ascii="宋体" w:hAnsi="宋体" w:cs="宋体"/>
          <w:szCs w:val="21"/>
        </w:rPr>
        <w:t>份。有上级部门的，合同双方当事人应各送交其上级部门一份。</w:t>
      </w:r>
    </w:p>
    <w:p>
      <w:pPr>
        <w:spacing w:line="360" w:lineRule="auto"/>
        <w:rPr>
          <w:rFonts w:hint="eastAsia" w:ascii="宋体" w:hAnsi="宋体" w:cs="宋体"/>
          <w:szCs w:val="21"/>
        </w:rPr>
      </w:pPr>
      <w:r>
        <w:rPr>
          <w:rFonts w:hint="eastAsia" w:ascii="宋体" w:hAnsi="宋体" w:cs="宋体"/>
          <w:szCs w:val="21"/>
        </w:rPr>
        <w:t>发 包 人 （公章）：                     承 包 人（公章）：</w:t>
      </w:r>
    </w:p>
    <w:p>
      <w:pPr>
        <w:spacing w:line="360" w:lineRule="auto"/>
        <w:rPr>
          <w:rFonts w:hint="eastAsia" w:ascii="宋体" w:hAnsi="宋体" w:cs="宋体"/>
          <w:szCs w:val="21"/>
        </w:rPr>
      </w:pPr>
      <w:r>
        <w:rPr>
          <w:rFonts w:hint="eastAsia" w:ascii="宋体" w:hAnsi="宋体" w:cs="宋体"/>
          <w:szCs w:val="21"/>
        </w:rPr>
        <w:t>法定代表人（签字）：                    法定代表人（签字）：</w:t>
      </w:r>
    </w:p>
    <w:p>
      <w:pPr>
        <w:spacing w:line="360" w:lineRule="auto"/>
        <w:rPr>
          <w:rFonts w:hint="eastAsia" w:ascii="宋体" w:hAnsi="宋体" w:cs="宋体"/>
          <w:szCs w:val="21"/>
        </w:rPr>
      </w:pPr>
      <w:r>
        <w:rPr>
          <w:rFonts w:hint="eastAsia" w:ascii="宋体" w:hAnsi="宋体" w:cs="宋体"/>
          <w:szCs w:val="21"/>
        </w:rPr>
        <w:t>年    月    日                         年    月    日</w:t>
      </w:r>
    </w:p>
    <w:p>
      <w:pPr>
        <w:spacing w:line="360" w:lineRule="auto"/>
        <w:rPr>
          <w:rFonts w:hint="eastAsia" w:ascii="宋体" w:hAnsi="宋体" w:cs="宋体"/>
          <w:szCs w:val="21"/>
        </w:rPr>
      </w:pPr>
      <w:r>
        <w:rPr>
          <w:rFonts w:hint="eastAsia" w:ascii="宋体" w:hAnsi="宋体" w:cs="宋体"/>
          <w:szCs w:val="21"/>
        </w:rPr>
        <w:t xml:space="preserve">                                </w:t>
      </w:r>
    </w:p>
    <w:p>
      <w:pPr>
        <w:pageBreakBefore/>
        <w:spacing w:line="360" w:lineRule="auto"/>
        <w:rPr>
          <w:rFonts w:hint="eastAsia" w:ascii="宋体" w:hAnsi="宋体" w:cs="宋体"/>
          <w:b/>
          <w:szCs w:val="21"/>
        </w:rPr>
      </w:pPr>
      <w:r>
        <w:rPr>
          <w:rFonts w:hint="eastAsia" w:ascii="宋体" w:hAnsi="宋体" w:cs="宋体"/>
          <w:b/>
          <w:szCs w:val="21"/>
        </w:rPr>
        <w:t>附件四：</w:t>
      </w:r>
    </w:p>
    <w:p>
      <w:pPr>
        <w:spacing w:line="360" w:lineRule="auto"/>
        <w:jc w:val="center"/>
        <w:rPr>
          <w:rFonts w:hint="eastAsia" w:ascii="宋体" w:hAnsi="宋体" w:cs="宋体"/>
          <w:b/>
          <w:szCs w:val="21"/>
        </w:rPr>
      </w:pPr>
      <w:r>
        <w:rPr>
          <w:rFonts w:hint="eastAsia" w:ascii="宋体" w:hAnsi="宋体" w:cs="宋体"/>
          <w:b/>
          <w:szCs w:val="21"/>
        </w:rPr>
        <w:t>主要建设工程文件目录</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文件名称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套数</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费用（元）</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质量</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移交时间</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r>
    </w:tbl>
    <w:p>
      <w:pPr>
        <w:spacing w:line="360" w:lineRule="auto"/>
        <w:rPr>
          <w:rFonts w:hint="eastAsia" w:ascii="宋体" w:hAnsi="宋体" w:cs="宋体"/>
          <w:color w:val="000000"/>
          <w:szCs w:val="21"/>
        </w:rPr>
      </w:pPr>
    </w:p>
    <w:p>
      <w:pPr>
        <w:pageBreakBefore/>
        <w:spacing w:line="360" w:lineRule="auto"/>
        <w:rPr>
          <w:rFonts w:hint="eastAsia" w:ascii="宋体" w:hAnsi="宋体" w:cs="宋体"/>
          <w:color w:val="000000"/>
          <w:szCs w:val="21"/>
        </w:rPr>
      </w:pPr>
      <w:r>
        <w:rPr>
          <w:rFonts w:hint="eastAsia" w:ascii="宋体" w:hAnsi="宋体" w:cs="宋体"/>
          <w:b/>
          <w:szCs w:val="21"/>
        </w:rPr>
        <w:t>附</w:t>
      </w:r>
      <w:bookmarkStart w:id="1240" w:name="_Toc296503227"/>
      <w:bookmarkStart w:id="1241" w:name="_Toc296891267"/>
      <w:bookmarkStart w:id="1242" w:name="_Toc296944566"/>
      <w:bookmarkStart w:id="1243" w:name="_Toc296891055"/>
      <w:bookmarkStart w:id="1244" w:name="_Toc296347226"/>
      <w:bookmarkStart w:id="1245" w:name="_Toc296346728"/>
      <w:bookmarkStart w:id="1246" w:name="_Toc267261698"/>
      <w:r>
        <w:rPr>
          <w:rFonts w:hint="eastAsia" w:ascii="宋体" w:hAnsi="宋体" w:cs="宋体"/>
          <w:b/>
          <w:color w:val="000000"/>
          <w:szCs w:val="21"/>
          <w:highlight w:val="white"/>
        </w:rPr>
        <w:t>件五：</w:t>
      </w:r>
    </w:p>
    <w:bookmarkEnd w:id="1240"/>
    <w:bookmarkEnd w:id="1241"/>
    <w:bookmarkEnd w:id="1242"/>
    <w:bookmarkEnd w:id="1243"/>
    <w:bookmarkEnd w:id="1244"/>
    <w:bookmarkEnd w:id="1245"/>
    <w:bookmarkEnd w:id="1246"/>
    <w:p>
      <w:pPr>
        <w:spacing w:line="360" w:lineRule="auto"/>
        <w:jc w:val="center"/>
        <w:rPr>
          <w:rFonts w:hint="eastAsia" w:ascii="宋体" w:hAnsi="宋体" w:cs="宋体"/>
          <w:b/>
          <w:szCs w:val="21"/>
        </w:rPr>
      </w:pPr>
      <w:r>
        <w:rPr>
          <w:rFonts w:hint="eastAsia" w:ascii="宋体" w:hAnsi="宋体" w:cs="宋体"/>
          <w:b/>
          <w:szCs w:val="21"/>
        </w:rPr>
        <w:t>承包人用于本工程施工的机械设备表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09"/>
        <w:gridCol w:w="1249"/>
        <w:gridCol w:w="850"/>
        <w:gridCol w:w="902"/>
        <w:gridCol w:w="880"/>
        <w:gridCol w:w="1020"/>
        <w:gridCol w:w="1296"/>
        <w:gridCol w:w="1048"/>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序号</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机械或设备名称</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规格型号</w:t>
            </w:r>
          </w:p>
        </w:tc>
        <w:tc>
          <w:tcPr>
            <w:tcW w:w="90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数量</w:t>
            </w:r>
          </w:p>
        </w:tc>
        <w:tc>
          <w:tcPr>
            <w:tcW w:w="88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产地</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制造年份</w:t>
            </w:r>
          </w:p>
        </w:tc>
        <w:tc>
          <w:tcPr>
            <w:tcW w:w="1296"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额定功率(kW)</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生产能力</w:t>
            </w:r>
          </w:p>
        </w:tc>
        <w:tc>
          <w:tcPr>
            <w:tcW w:w="92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2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szCs w:val="21"/>
              </w:rPr>
            </w:pPr>
          </w:p>
        </w:tc>
      </w:tr>
    </w:tbl>
    <w:p>
      <w:pPr>
        <w:pageBreakBefore/>
        <w:spacing w:line="360" w:lineRule="auto"/>
        <w:rPr>
          <w:rFonts w:hint="eastAsia" w:ascii="宋体" w:hAnsi="宋体" w:cs="宋体"/>
          <w:b/>
          <w:szCs w:val="21"/>
        </w:rPr>
      </w:pPr>
      <w:r>
        <w:rPr>
          <w:rFonts w:hint="eastAsia" w:ascii="宋体" w:hAnsi="宋体" w:cs="宋体"/>
          <w:b/>
          <w:szCs w:val="21"/>
        </w:rPr>
        <w:t>附</w:t>
      </w:r>
      <w:bookmarkStart w:id="1247" w:name="_Toc296891268"/>
      <w:bookmarkStart w:id="1248" w:name="_Toc296944567"/>
      <w:bookmarkStart w:id="1249" w:name="_Toc296503228"/>
      <w:bookmarkStart w:id="1250" w:name="_Toc296346729"/>
      <w:bookmarkStart w:id="1251" w:name="_Toc296891056"/>
      <w:bookmarkStart w:id="1252" w:name="_Toc296347227"/>
      <w:bookmarkStart w:id="1253" w:name="_Toc267261699"/>
      <w:r>
        <w:rPr>
          <w:rFonts w:hint="eastAsia" w:ascii="宋体" w:hAnsi="宋体" w:cs="宋体"/>
          <w:b/>
          <w:color w:val="000000"/>
          <w:szCs w:val="21"/>
          <w:highlight w:val="white"/>
        </w:rPr>
        <w:t>件六：</w:t>
      </w:r>
    </w:p>
    <w:bookmarkEnd w:id="1247"/>
    <w:bookmarkEnd w:id="1248"/>
    <w:bookmarkEnd w:id="1249"/>
    <w:bookmarkEnd w:id="1250"/>
    <w:bookmarkEnd w:id="1251"/>
    <w:bookmarkEnd w:id="1252"/>
    <w:bookmarkEnd w:id="1253"/>
    <w:p>
      <w:pPr>
        <w:spacing w:line="360" w:lineRule="auto"/>
        <w:jc w:val="center"/>
        <w:rPr>
          <w:rFonts w:hint="eastAsia" w:ascii="宋体" w:hAnsi="宋体" w:cs="宋体"/>
          <w:b/>
          <w:szCs w:val="21"/>
        </w:rPr>
      </w:pPr>
      <w:r>
        <w:rPr>
          <w:rFonts w:hint="eastAsia" w:ascii="宋体" w:hAnsi="宋体" w:cs="宋体"/>
          <w:b/>
          <w:szCs w:val="21"/>
        </w:rPr>
        <w:t>承包人主要施工管理人员表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0"/>
        <w:gridCol w:w="1417"/>
        <w:gridCol w:w="1133"/>
        <w:gridCol w:w="1133"/>
        <w:gridCol w:w="3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名    称</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姓名</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职务</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职称</w:t>
            </w:r>
          </w:p>
        </w:tc>
        <w:tc>
          <w:tcPr>
            <w:tcW w:w="389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450" w:type="dxa"/>
            <w:gridSpan w:val="5"/>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项目主管</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389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389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其他人员</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389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389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450" w:type="dxa"/>
            <w:gridSpan w:val="5"/>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项目经理</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389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项目副经理</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389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技术负责人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389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造价管理</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389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质量管理</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389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材料管理</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389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计划管理</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389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安全管理</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389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vMerge w:val="restart"/>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r>
              <w:rPr>
                <w:rFonts w:hint="eastAsia" w:cs="宋体"/>
                <w:color w:val="000000"/>
                <w:sz w:val="21"/>
                <w:szCs w:val="21"/>
              </w:rPr>
              <w:t>其他人员</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389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00000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389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00000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389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00000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389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00000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389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00000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3897"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bl>
    <w:p>
      <w:pPr>
        <w:pageBreakBefore/>
        <w:spacing w:line="360" w:lineRule="auto"/>
        <w:rPr>
          <w:rFonts w:hint="eastAsia" w:ascii="宋体" w:hAnsi="宋体" w:cs="宋体"/>
          <w:b/>
          <w:szCs w:val="21"/>
        </w:rPr>
      </w:pPr>
      <w:r>
        <w:rPr>
          <w:rFonts w:hint="eastAsia" w:ascii="宋体" w:hAnsi="宋体" w:cs="宋体"/>
          <w:b/>
          <w:szCs w:val="21"/>
        </w:rPr>
        <w:t>附件七：</w:t>
      </w:r>
    </w:p>
    <w:p>
      <w:pPr>
        <w:spacing w:line="360" w:lineRule="auto"/>
        <w:jc w:val="center"/>
        <w:rPr>
          <w:rFonts w:hint="eastAsia" w:ascii="宋体" w:hAnsi="宋体" w:cs="宋体"/>
          <w:b/>
          <w:szCs w:val="21"/>
        </w:rPr>
      </w:pPr>
      <w:r>
        <w:rPr>
          <w:rFonts w:hint="eastAsia" w:ascii="宋体" w:hAnsi="宋体" w:cs="宋体"/>
          <w:b/>
          <w:szCs w:val="21"/>
        </w:rPr>
        <w:t>专业工程暂估价表</w:t>
      </w:r>
    </w:p>
    <w:tbl>
      <w:tblPr>
        <w:tblStyle w:val="24"/>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b/>
                <w:color w:val="000000"/>
                <w:sz w:val="21"/>
                <w:szCs w:val="21"/>
              </w:rPr>
            </w:pPr>
            <w:r>
              <w:rPr>
                <w:rFonts w:hint="eastAsia" w:cs="宋体"/>
                <w:b/>
                <w:color w:val="000000"/>
                <w:sz w:val="21"/>
                <w:szCs w:val="21"/>
              </w:rPr>
              <w:t>序号</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b/>
                <w:color w:val="000000"/>
                <w:sz w:val="21"/>
                <w:szCs w:val="21"/>
              </w:rPr>
            </w:pPr>
            <w:r>
              <w:rPr>
                <w:rFonts w:hint="eastAsia" w:cs="宋体"/>
                <w:b/>
                <w:color w:val="000000"/>
                <w:sz w:val="21"/>
                <w:szCs w:val="21"/>
              </w:rPr>
              <w:t>名称</w:t>
            </w: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b/>
                <w:color w:val="000000"/>
                <w:sz w:val="21"/>
                <w:szCs w:val="21"/>
              </w:rPr>
            </w:pPr>
            <w:r>
              <w:rPr>
                <w:rFonts w:hint="eastAsia" w:cs="宋体"/>
                <w:b/>
                <w:color w:val="000000"/>
                <w:sz w:val="21"/>
                <w:szCs w:val="21"/>
              </w:rPr>
              <w:t>单位</w:t>
            </w: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b/>
                <w:color w:val="000000"/>
                <w:sz w:val="21"/>
                <w:szCs w:val="21"/>
              </w:rPr>
            </w:pPr>
            <w:r>
              <w:rPr>
                <w:rFonts w:hint="eastAsia" w:cs="宋体"/>
                <w:b/>
                <w:color w:val="000000"/>
                <w:sz w:val="21"/>
                <w:szCs w:val="21"/>
              </w:rPr>
              <w:t>数量</w:t>
            </w:r>
          </w:p>
        </w:tc>
        <w:tc>
          <w:tcPr>
            <w:tcW w:w="135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b/>
                <w:color w:val="000000"/>
                <w:sz w:val="21"/>
                <w:szCs w:val="21"/>
              </w:rPr>
            </w:pPr>
            <w:r>
              <w:rPr>
                <w:rFonts w:hint="eastAsia" w:cs="宋体"/>
                <w:b/>
                <w:color w:val="000000"/>
                <w:sz w:val="21"/>
                <w:szCs w:val="21"/>
              </w:rPr>
              <w:t>单价（元）</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b/>
                <w:color w:val="000000"/>
                <w:sz w:val="21"/>
                <w:szCs w:val="21"/>
              </w:rPr>
            </w:pPr>
            <w:r>
              <w:rPr>
                <w:rFonts w:hint="eastAsia" w:cs="宋体"/>
                <w:b/>
                <w:color w:val="000000"/>
                <w:sz w:val="21"/>
                <w:szCs w:val="21"/>
              </w:rPr>
              <w:t>合价（元）</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b/>
                <w:color w:val="000000"/>
                <w:sz w:val="21"/>
                <w:szCs w:val="21"/>
              </w:rPr>
            </w:pPr>
            <w:r>
              <w:rPr>
                <w:rFonts w:hint="eastAsia" w:cs="宋体"/>
                <w:b/>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774"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11"/>
              <w:keepNext/>
              <w:spacing w:line="360" w:lineRule="auto"/>
              <w:ind w:left="63" w:right="63"/>
              <w:jc w:val="center"/>
              <w:rPr>
                <w:rFonts w:hint="eastAsia" w:cs="宋体"/>
                <w:color w:val="000000"/>
                <w:sz w:val="21"/>
                <w:szCs w:val="21"/>
              </w:rPr>
            </w:pPr>
          </w:p>
        </w:tc>
      </w:tr>
    </w:tbl>
    <w:p>
      <w:pPr>
        <w:spacing w:line="360" w:lineRule="auto"/>
        <w:rPr>
          <w:rFonts w:hint="eastAsia" w:ascii="宋体" w:hAnsi="宋体" w:cs="宋体"/>
          <w:szCs w:val="21"/>
        </w:rPr>
      </w:pPr>
    </w:p>
    <w:p>
      <w:pPr>
        <w:pageBreakBefore/>
        <w:spacing w:line="360" w:lineRule="auto"/>
        <w:rPr>
          <w:rFonts w:hint="eastAsia" w:ascii="宋体" w:hAnsi="宋体" w:cs="宋体"/>
          <w:b/>
          <w:szCs w:val="21"/>
        </w:rPr>
      </w:pPr>
      <w:r>
        <w:rPr>
          <w:rFonts w:hint="eastAsia" w:ascii="宋体" w:hAnsi="宋体" w:cs="宋体"/>
          <w:b/>
          <w:szCs w:val="21"/>
        </w:rPr>
        <w:t>附件八：</w:t>
      </w:r>
    </w:p>
    <w:p>
      <w:pPr>
        <w:pStyle w:val="68"/>
        <w:jc w:val="center"/>
        <w:rPr>
          <w:b/>
          <w:color w:val="000000"/>
          <w:sz w:val="36"/>
          <w:szCs w:val="36"/>
        </w:rPr>
      </w:pPr>
      <w:r>
        <w:rPr>
          <w:rFonts w:hint="eastAsia"/>
          <w:b/>
          <w:color w:val="000000"/>
          <w:sz w:val="36"/>
          <w:szCs w:val="36"/>
          <w:highlight w:val="white"/>
        </w:rPr>
        <w:t>银行担保函</w:t>
      </w:r>
    </w:p>
    <w:p>
      <w:pPr>
        <w:pStyle w:val="68"/>
        <w:jc w:val="center"/>
        <w:rPr>
          <w:b/>
          <w:color w:val="FF0000"/>
        </w:rPr>
      </w:pPr>
    </w:p>
    <w:tbl>
      <w:tblPr>
        <w:tblStyle w:val="24"/>
        <w:tblW w:w="0" w:type="auto"/>
        <w:jc w:val="center"/>
        <w:tblBorders>
          <w:top w:val="dotted" w:color="003366" w:sz="6" w:space="0"/>
          <w:left w:val="dotted" w:color="003366" w:sz="6" w:space="0"/>
          <w:bottom w:val="dotted" w:color="003366" w:sz="6" w:space="0"/>
          <w:right w:val="dotted" w:color="003366" w:sz="6" w:space="0"/>
          <w:insideH w:val="dotted" w:color="003366" w:sz="6" w:space="0"/>
          <w:insideV w:val="dotted" w:color="003366" w:sz="6" w:space="0"/>
        </w:tblBorders>
        <w:tblLayout w:type="fixed"/>
        <w:tblCellMar>
          <w:top w:w="0" w:type="dxa"/>
          <w:left w:w="108" w:type="dxa"/>
          <w:bottom w:w="0" w:type="dxa"/>
          <w:right w:w="108" w:type="dxa"/>
        </w:tblCellMar>
      </w:tblPr>
      <w:tblGrid>
        <w:gridCol w:w="1974"/>
        <w:gridCol w:w="2775"/>
        <w:gridCol w:w="1620"/>
        <w:gridCol w:w="2965"/>
      </w:tblGrid>
      <w:tr>
        <w:tblPrEx>
          <w:tblBorders>
            <w:top w:val="dotted" w:color="003366" w:sz="6" w:space="0"/>
            <w:left w:val="dotted" w:color="003366" w:sz="6" w:space="0"/>
            <w:bottom w:val="dotted" w:color="003366" w:sz="6" w:space="0"/>
            <w:right w:val="dotted" w:color="003366" w:sz="6" w:space="0"/>
            <w:insideH w:val="dotted" w:color="003366" w:sz="6" w:space="0"/>
            <w:insideV w:val="dotted" w:color="003366" w:sz="6" w:space="0"/>
          </w:tblBorders>
          <w:tblCellMar>
            <w:top w:w="0" w:type="dxa"/>
            <w:left w:w="108" w:type="dxa"/>
            <w:bottom w:w="0" w:type="dxa"/>
            <w:right w:w="108" w:type="dxa"/>
          </w:tblCellMar>
        </w:tblPrEx>
        <w:trPr>
          <w:trHeight w:val="750" w:hRule="atLeast"/>
          <w:jc w:val="center"/>
        </w:trPr>
        <w:tc>
          <w:tcPr>
            <w:tcW w:w="1974" w:type="dxa"/>
            <w:tcBorders>
              <w:top w:val="dotted" w:color="003366" w:sz="6" w:space="0"/>
              <w:left w:val="dotted" w:color="003366" w:sz="6" w:space="0"/>
              <w:bottom w:val="dotted" w:color="003366" w:sz="6" w:space="0"/>
              <w:right w:val="dotted" w:color="003366" w:sz="6" w:space="0"/>
            </w:tcBorders>
            <w:noWrap w:val="0"/>
            <w:vAlign w:val="center"/>
          </w:tcPr>
          <w:p>
            <w:pPr>
              <w:pStyle w:val="66"/>
              <w:spacing w:line="360" w:lineRule="auto"/>
              <w:jc w:val="center"/>
              <w:rPr>
                <w:rFonts w:ascii="Times New Roman" w:hAnsi="Times New Roman"/>
                <w:b/>
              </w:rPr>
            </w:pPr>
            <w:r>
              <w:rPr>
                <w:rFonts w:hint="eastAsia" w:ascii="Times New Roman" w:hAnsi="Times New Roman"/>
                <w:b/>
                <w:color w:val="000000"/>
                <w:highlight w:val="white"/>
              </w:rPr>
              <w:t>项目名称</w:t>
            </w:r>
          </w:p>
        </w:tc>
        <w:tc>
          <w:tcPr>
            <w:tcW w:w="2775" w:type="dxa"/>
            <w:tcBorders>
              <w:top w:val="dotted" w:color="003366" w:sz="6" w:space="0"/>
              <w:left w:val="dotted" w:color="003366" w:sz="6" w:space="0"/>
              <w:bottom w:val="dotted" w:color="003366" w:sz="6" w:space="0"/>
              <w:right w:val="dotted" w:color="003366" w:sz="6" w:space="0"/>
            </w:tcBorders>
            <w:noWrap w:val="0"/>
            <w:vAlign w:val="center"/>
          </w:tcPr>
          <w:p>
            <w:pPr>
              <w:pStyle w:val="66"/>
              <w:widowControl/>
              <w:spacing w:line="360" w:lineRule="auto"/>
              <w:jc w:val="left"/>
              <w:rPr>
                <w:rFonts w:ascii="Times New Roman" w:hAnsi="Times New Roman"/>
                <w:kern w:val="0"/>
                <w:sz w:val="20"/>
                <w:highlight w:val="green"/>
              </w:rPr>
            </w:pPr>
          </w:p>
        </w:tc>
        <w:tc>
          <w:tcPr>
            <w:tcW w:w="1620" w:type="dxa"/>
            <w:tcBorders>
              <w:top w:val="dotted" w:color="003366" w:sz="6" w:space="0"/>
              <w:left w:val="dotted" w:color="003366" w:sz="6" w:space="0"/>
              <w:bottom w:val="dotted" w:color="003366" w:sz="6" w:space="0"/>
              <w:right w:val="dotted" w:color="003366" w:sz="6" w:space="0"/>
            </w:tcBorders>
            <w:noWrap w:val="0"/>
            <w:vAlign w:val="center"/>
          </w:tcPr>
          <w:p>
            <w:pPr>
              <w:pStyle w:val="66"/>
              <w:spacing w:line="360" w:lineRule="auto"/>
              <w:jc w:val="center"/>
              <w:rPr>
                <w:rFonts w:ascii="Times New Roman" w:hAnsi="Times New Roman"/>
                <w:b/>
              </w:rPr>
            </w:pPr>
            <w:r>
              <w:rPr>
                <w:rFonts w:hint="eastAsia" w:ascii="Times New Roman" w:hAnsi="Times New Roman"/>
                <w:b/>
                <w:color w:val="000000"/>
                <w:highlight w:val="white"/>
              </w:rPr>
              <w:t>交易编号</w:t>
            </w:r>
          </w:p>
        </w:tc>
        <w:tc>
          <w:tcPr>
            <w:tcW w:w="2965" w:type="dxa"/>
            <w:tcBorders>
              <w:top w:val="dotted" w:color="003366" w:sz="6" w:space="0"/>
              <w:left w:val="dotted" w:color="003366" w:sz="6" w:space="0"/>
              <w:bottom w:val="dotted" w:color="003366" w:sz="6" w:space="0"/>
              <w:right w:val="dotted" w:color="003366" w:sz="6" w:space="0"/>
            </w:tcBorders>
            <w:noWrap w:val="0"/>
            <w:vAlign w:val="center"/>
          </w:tcPr>
          <w:p>
            <w:pPr>
              <w:pStyle w:val="66"/>
              <w:widowControl/>
              <w:spacing w:line="360" w:lineRule="auto"/>
              <w:jc w:val="left"/>
              <w:rPr>
                <w:rFonts w:ascii="Times New Roman" w:hAnsi="Times New Roman"/>
                <w:kern w:val="0"/>
                <w:sz w:val="20"/>
                <w:highlight w:val="green"/>
              </w:rPr>
            </w:pPr>
          </w:p>
        </w:tc>
      </w:tr>
      <w:tr>
        <w:tblPrEx>
          <w:tblBorders>
            <w:top w:val="dotted" w:color="003366" w:sz="6" w:space="0"/>
            <w:left w:val="dotted" w:color="003366" w:sz="6" w:space="0"/>
            <w:bottom w:val="dotted" w:color="003366" w:sz="6" w:space="0"/>
            <w:right w:val="dotted" w:color="003366" w:sz="6" w:space="0"/>
            <w:insideH w:val="dotted" w:color="003366" w:sz="6" w:space="0"/>
            <w:insideV w:val="dotted" w:color="003366" w:sz="6" w:space="0"/>
          </w:tblBorders>
          <w:tblCellMar>
            <w:top w:w="0" w:type="dxa"/>
            <w:left w:w="108" w:type="dxa"/>
            <w:bottom w:w="0" w:type="dxa"/>
            <w:right w:w="108" w:type="dxa"/>
          </w:tblCellMar>
        </w:tblPrEx>
        <w:trPr>
          <w:trHeight w:val="520" w:hRule="atLeast"/>
          <w:jc w:val="center"/>
        </w:trPr>
        <w:tc>
          <w:tcPr>
            <w:tcW w:w="1974" w:type="dxa"/>
            <w:tcBorders>
              <w:top w:val="dotted" w:color="003366" w:sz="6" w:space="0"/>
              <w:left w:val="dotted" w:color="003366" w:sz="6" w:space="0"/>
              <w:bottom w:val="dotted" w:color="003366" w:sz="6" w:space="0"/>
              <w:right w:val="dotted" w:color="003366" w:sz="6" w:space="0"/>
            </w:tcBorders>
            <w:noWrap w:val="0"/>
            <w:vAlign w:val="center"/>
          </w:tcPr>
          <w:p>
            <w:pPr>
              <w:pStyle w:val="66"/>
              <w:spacing w:line="360" w:lineRule="auto"/>
              <w:jc w:val="center"/>
              <w:rPr>
                <w:rFonts w:ascii="Times New Roman" w:hAnsi="Times New Roman"/>
                <w:b/>
              </w:rPr>
            </w:pPr>
            <w:r>
              <w:rPr>
                <w:rFonts w:hint="eastAsia" w:ascii="Times New Roman" w:hAnsi="Times New Roman"/>
                <w:b/>
                <w:color w:val="000000"/>
                <w:highlight w:val="white"/>
              </w:rPr>
              <w:t>被保证人（乙方）</w:t>
            </w:r>
          </w:p>
        </w:tc>
        <w:tc>
          <w:tcPr>
            <w:tcW w:w="2775" w:type="dxa"/>
            <w:tcBorders>
              <w:top w:val="dotted" w:color="003366" w:sz="6" w:space="0"/>
              <w:left w:val="dotted" w:color="003366" w:sz="6" w:space="0"/>
              <w:bottom w:val="dotted" w:color="003366" w:sz="6" w:space="0"/>
              <w:right w:val="dotted" w:color="003366" w:sz="6" w:space="0"/>
            </w:tcBorders>
            <w:noWrap w:val="0"/>
            <w:vAlign w:val="center"/>
          </w:tcPr>
          <w:p>
            <w:pPr>
              <w:pStyle w:val="66"/>
              <w:spacing w:line="360" w:lineRule="auto"/>
              <w:jc w:val="center"/>
              <w:rPr>
                <w:rFonts w:ascii="Times New Roman" w:hAnsi="Times New Roman"/>
              </w:rPr>
            </w:pPr>
          </w:p>
        </w:tc>
        <w:tc>
          <w:tcPr>
            <w:tcW w:w="1620" w:type="dxa"/>
            <w:tcBorders>
              <w:top w:val="dotted" w:color="003366" w:sz="6" w:space="0"/>
              <w:left w:val="dotted" w:color="003366" w:sz="6" w:space="0"/>
              <w:bottom w:val="dotted" w:color="003366" w:sz="6" w:space="0"/>
              <w:right w:val="dotted" w:color="003366" w:sz="6" w:space="0"/>
            </w:tcBorders>
            <w:noWrap w:val="0"/>
            <w:vAlign w:val="center"/>
          </w:tcPr>
          <w:p>
            <w:pPr>
              <w:pStyle w:val="66"/>
              <w:spacing w:line="360" w:lineRule="auto"/>
              <w:jc w:val="center"/>
              <w:rPr>
                <w:rFonts w:ascii="Times New Roman" w:hAnsi="Times New Roman"/>
                <w:b/>
              </w:rPr>
            </w:pPr>
            <w:r>
              <w:rPr>
                <w:rFonts w:hint="eastAsia" w:ascii="Times New Roman" w:hAnsi="Times New Roman"/>
                <w:b/>
                <w:color w:val="000000"/>
                <w:highlight w:val="white"/>
              </w:rPr>
              <w:t>受益人</w:t>
            </w:r>
            <w:r>
              <w:rPr>
                <w:rFonts w:ascii="Times New Roman" w:hAnsi="Times New Roman"/>
                <w:b/>
                <w:color w:val="000000"/>
                <w:highlight w:val="white"/>
              </w:rPr>
              <w:t>(</w:t>
            </w:r>
            <w:r>
              <w:rPr>
                <w:rFonts w:hint="eastAsia" w:ascii="Times New Roman" w:hAnsi="Times New Roman"/>
                <w:b/>
                <w:color w:val="000000"/>
                <w:highlight w:val="white"/>
              </w:rPr>
              <w:t>甲方</w:t>
            </w:r>
            <w:r>
              <w:rPr>
                <w:rFonts w:ascii="Times New Roman" w:hAnsi="Times New Roman"/>
                <w:b/>
                <w:color w:val="000000"/>
                <w:highlight w:val="white"/>
              </w:rPr>
              <w:t>)</w:t>
            </w:r>
          </w:p>
        </w:tc>
        <w:tc>
          <w:tcPr>
            <w:tcW w:w="2965" w:type="dxa"/>
            <w:tcBorders>
              <w:top w:val="dotted" w:color="003366" w:sz="6" w:space="0"/>
              <w:left w:val="dotted" w:color="003366" w:sz="6" w:space="0"/>
              <w:bottom w:val="dotted" w:color="003366" w:sz="6" w:space="0"/>
              <w:right w:val="dotted" w:color="003366" w:sz="6" w:space="0"/>
            </w:tcBorders>
            <w:noWrap w:val="0"/>
            <w:vAlign w:val="center"/>
          </w:tcPr>
          <w:p>
            <w:pPr>
              <w:pStyle w:val="66"/>
              <w:widowControl/>
              <w:spacing w:line="360" w:lineRule="auto"/>
              <w:jc w:val="center"/>
              <w:rPr>
                <w:rFonts w:ascii="Times New Roman" w:hAnsi="Times New Roman"/>
                <w:kern w:val="0"/>
                <w:sz w:val="20"/>
              </w:rPr>
            </w:pPr>
          </w:p>
        </w:tc>
      </w:tr>
      <w:tr>
        <w:tblPrEx>
          <w:tblBorders>
            <w:top w:val="dotted" w:color="003366" w:sz="6" w:space="0"/>
            <w:left w:val="dotted" w:color="003366" w:sz="6" w:space="0"/>
            <w:bottom w:val="dotted" w:color="003366" w:sz="6" w:space="0"/>
            <w:right w:val="dotted" w:color="003366" w:sz="6" w:space="0"/>
            <w:insideH w:val="dotted" w:color="003366" w:sz="6" w:space="0"/>
            <w:insideV w:val="dotted" w:color="003366" w:sz="6" w:space="0"/>
          </w:tblBorders>
          <w:tblCellMar>
            <w:top w:w="0" w:type="dxa"/>
            <w:left w:w="108" w:type="dxa"/>
            <w:bottom w:w="0" w:type="dxa"/>
            <w:right w:w="108" w:type="dxa"/>
          </w:tblCellMar>
        </w:tblPrEx>
        <w:trPr>
          <w:trHeight w:val="490" w:hRule="atLeast"/>
          <w:jc w:val="center"/>
        </w:trPr>
        <w:tc>
          <w:tcPr>
            <w:tcW w:w="1974" w:type="dxa"/>
            <w:tcBorders>
              <w:top w:val="dotted" w:color="003366" w:sz="6" w:space="0"/>
              <w:left w:val="dotted" w:color="003366" w:sz="6" w:space="0"/>
              <w:bottom w:val="dotted" w:color="003366" w:sz="6" w:space="0"/>
              <w:right w:val="dotted" w:color="003366" w:sz="6" w:space="0"/>
            </w:tcBorders>
            <w:noWrap w:val="0"/>
            <w:vAlign w:val="center"/>
          </w:tcPr>
          <w:p>
            <w:pPr>
              <w:pStyle w:val="66"/>
              <w:spacing w:line="360" w:lineRule="auto"/>
              <w:jc w:val="center"/>
              <w:rPr>
                <w:rFonts w:ascii="Times New Roman" w:hAnsi="Times New Roman"/>
                <w:b/>
              </w:rPr>
            </w:pPr>
            <w:r>
              <w:rPr>
                <w:rFonts w:hint="eastAsia" w:ascii="Times New Roman" w:hAnsi="Times New Roman"/>
                <w:b/>
                <w:color w:val="000000"/>
                <w:highlight w:val="white"/>
              </w:rPr>
              <w:t>开函银行</w:t>
            </w:r>
          </w:p>
        </w:tc>
        <w:tc>
          <w:tcPr>
            <w:tcW w:w="2775" w:type="dxa"/>
            <w:tcBorders>
              <w:top w:val="dotted" w:color="003366" w:sz="6" w:space="0"/>
              <w:left w:val="dotted" w:color="003366" w:sz="6" w:space="0"/>
              <w:bottom w:val="dotted" w:color="003366" w:sz="6" w:space="0"/>
              <w:right w:val="dotted" w:color="003366" w:sz="6" w:space="0"/>
            </w:tcBorders>
            <w:noWrap w:val="0"/>
            <w:vAlign w:val="center"/>
          </w:tcPr>
          <w:p>
            <w:pPr>
              <w:pStyle w:val="66"/>
              <w:spacing w:line="360" w:lineRule="auto"/>
              <w:jc w:val="center"/>
              <w:rPr>
                <w:rFonts w:ascii="Times New Roman" w:hAnsi="Times New Roman"/>
              </w:rPr>
            </w:pPr>
          </w:p>
        </w:tc>
        <w:tc>
          <w:tcPr>
            <w:tcW w:w="1620" w:type="dxa"/>
            <w:tcBorders>
              <w:top w:val="dotted" w:color="003366" w:sz="6" w:space="0"/>
              <w:left w:val="dotted" w:color="003366" w:sz="6" w:space="0"/>
              <w:bottom w:val="dotted" w:color="003366" w:sz="6" w:space="0"/>
              <w:right w:val="dotted" w:color="003366" w:sz="6" w:space="0"/>
            </w:tcBorders>
            <w:noWrap w:val="0"/>
            <w:vAlign w:val="center"/>
          </w:tcPr>
          <w:p>
            <w:pPr>
              <w:pStyle w:val="66"/>
              <w:spacing w:line="360" w:lineRule="auto"/>
              <w:jc w:val="center"/>
              <w:rPr>
                <w:rFonts w:ascii="Times New Roman" w:hAnsi="Times New Roman"/>
                <w:b/>
              </w:rPr>
            </w:pPr>
            <w:r>
              <w:rPr>
                <w:rFonts w:hint="eastAsia" w:ascii="Times New Roman" w:hAnsi="Times New Roman"/>
                <w:b/>
                <w:color w:val="000000"/>
                <w:highlight w:val="white"/>
              </w:rPr>
              <w:t>担保函编号</w:t>
            </w:r>
          </w:p>
        </w:tc>
        <w:tc>
          <w:tcPr>
            <w:tcW w:w="2965" w:type="dxa"/>
            <w:tcBorders>
              <w:top w:val="dotted" w:color="003366" w:sz="6" w:space="0"/>
              <w:left w:val="dotted" w:color="003366" w:sz="6" w:space="0"/>
              <w:bottom w:val="dotted" w:color="003366" w:sz="6" w:space="0"/>
              <w:right w:val="dotted" w:color="003366" w:sz="6" w:space="0"/>
            </w:tcBorders>
            <w:noWrap w:val="0"/>
            <w:vAlign w:val="center"/>
          </w:tcPr>
          <w:p>
            <w:pPr>
              <w:pStyle w:val="66"/>
              <w:spacing w:line="360" w:lineRule="auto"/>
              <w:jc w:val="center"/>
              <w:rPr>
                <w:rFonts w:ascii="Times New Roman" w:hAnsi="Times New Roman"/>
              </w:rPr>
            </w:pPr>
          </w:p>
        </w:tc>
      </w:tr>
      <w:tr>
        <w:tblPrEx>
          <w:tblBorders>
            <w:top w:val="dotted" w:color="003366" w:sz="6" w:space="0"/>
            <w:left w:val="dotted" w:color="003366" w:sz="6" w:space="0"/>
            <w:bottom w:val="dotted" w:color="003366" w:sz="6" w:space="0"/>
            <w:right w:val="dotted" w:color="003366" w:sz="6" w:space="0"/>
            <w:insideH w:val="dotted" w:color="003366" w:sz="6" w:space="0"/>
            <w:insideV w:val="dotted" w:color="003366" w:sz="6" w:space="0"/>
          </w:tblBorders>
          <w:tblCellMar>
            <w:top w:w="0" w:type="dxa"/>
            <w:left w:w="108" w:type="dxa"/>
            <w:bottom w:w="0" w:type="dxa"/>
            <w:right w:w="108" w:type="dxa"/>
          </w:tblCellMar>
        </w:tblPrEx>
        <w:trPr>
          <w:cantSplit/>
          <w:trHeight w:val="464" w:hRule="atLeast"/>
          <w:jc w:val="center"/>
        </w:trPr>
        <w:tc>
          <w:tcPr>
            <w:tcW w:w="1974" w:type="dxa"/>
            <w:tcBorders>
              <w:top w:val="dotted" w:color="003366" w:sz="6" w:space="0"/>
              <w:left w:val="dotted" w:color="003366" w:sz="6" w:space="0"/>
              <w:bottom w:val="dotted" w:color="003366" w:sz="6" w:space="0"/>
              <w:right w:val="dotted" w:color="003366" w:sz="6" w:space="0"/>
            </w:tcBorders>
            <w:noWrap w:val="0"/>
            <w:vAlign w:val="center"/>
          </w:tcPr>
          <w:p>
            <w:pPr>
              <w:pStyle w:val="66"/>
              <w:spacing w:line="360" w:lineRule="auto"/>
              <w:jc w:val="center"/>
              <w:rPr>
                <w:rFonts w:ascii="Times New Roman" w:hAnsi="Times New Roman"/>
                <w:b/>
              </w:rPr>
            </w:pPr>
            <w:r>
              <w:rPr>
                <w:rFonts w:hint="eastAsia" w:ascii="Times New Roman" w:hAnsi="Times New Roman"/>
                <w:b/>
                <w:color w:val="000000"/>
                <w:highlight w:val="white"/>
              </w:rPr>
              <w:t>担保金额</w:t>
            </w:r>
          </w:p>
        </w:tc>
        <w:tc>
          <w:tcPr>
            <w:tcW w:w="2775" w:type="dxa"/>
            <w:tcBorders>
              <w:top w:val="dotted" w:color="003366" w:sz="6" w:space="0"/>
              <w:left w:val="dotted" w:color="003366" w:sz="6" w:space="0"/>
              <w:bottom w:val="dotted" w:color="003366" w:sz="6" w:space="0"/>
              <w:right w:val="dotted" w:color="003366" w:sz="6" w:space="0"/>
            </w:tcBorders>
            <w:noWrap w:val="0"/>
            <w:vAlign w:val="center"/>
          </w:tcPr>
          <w:p>
            <w:pPr>
              <w:pStyle w:val="66"/>
              <w:spacing w:line="360" w:lineRule="auto"/>
              <w:ind w:firstLine="1260" w:firstLineChars="600"/>
              <w:jc w:val="right"/>
              <w:rPr>
                <w:rFonts w:ascii="Times New Roman" w:hAnsi="Times New Roman"/>
              </w:rPr>
            </w:pPr>
            <w:r>
              <w:rPr>
                <w:rFonts w:hint="eastAsia" w:ascii="Times New Roman" w:hAnsi="Times New Roman"/>
                <w:color w:val="000000"/>
                <w:highlight w:val="white"/>
              </w:rPr>
              <w:t>人民币</w:t>
            </w:r>
          </w:p>
        </w:tc>
        <w:tc>
          <w:tcPr>
            <w:tcW w:w="1620" w:type="dxa"/>
            <w:tcBorders>
              <w:top w:val="dotted" w:color="003366" w:sz="6" w:space="0"/>
              <w:left w:val="dotted" w:color="003366" w:sz="6" w:space="0"/>
              <w:bottom w:val="dotted" w:color="003366" w:sz="6" w:space="0"/>
              <w:right w:val="dotted" w:color="003366" w:sz="6" w:space="0"/>
            </w:tcBorders>
            <w:noWrap w:val="0"/>
            <w:vAlign w:val="center"/>
          </w:tcPr>
          <w:p>
            <w:pPr>
              <w:pStyle w:val="66"/>
              <w:spacing w:line="360" w:lineRule="auto"/>
              <w:jc w:val="center"/>
              <w:rPr>
                <w:rFonts w:ascii="Times New Roman" w:hAnsi="Times New Roman"/>
                <w:b/>
              </w:rPr>
            </w:pPr>
            <w:r>
              <w:rPr>
                <w:rFonts w:hint="eastAsia" w:ascii="Times New Roman" w:hAnsi="Times New Roman"/>
                <w:b/>
                <w:color w:val="000000"/>
                <w:highlight w:val="white"/>
              </w:rPr>
              <w:t>担保函有效期</w:t>
            </w:r>
          </w:p>
        </w:tc>
        <w:tc>
          <w:tcPr>
            <w:tcW w:w="2965" w:type="dxa"/>
            <w:tcBorders>
              <w:top w:val="dotted" w:color="003366" w:sz="6" w:space="0"/>
              <w:left w:val="dotted" w:color="003366" w:sz="6" w:space="0"/>
              <w:bottom w:val="dotted" w:color="003366" w:sz="6" w:space="0"/>
              <w:right w:val="dotted" w:color="003366" w:sz="6" w:space="0"/>
            </w:tcBorders>
            <w:noWrap w:val="0"/>
            <w:vAlign w:val="center"/>
          </w:tcPr>
          <w:p>
            <w:pPr>
              <w:pStyle w:val="66"/>
              <w:spacing w:line="360" w:lineRule="auto"/>
              <w:jc w:val="center"/>
              <w:rPr>
                <w:rFonts w:ascii="Times New Roman" w:hAnsi="Times New Roman"/>
              </w:rPr>
            </w:pPr>
          </w:p>
        </w:tc>
      </w:tr>
      <w:tr>
        <w:tblPrEx>
          <w:tblBorders>
            <w:top w:val="dotted" w:color="003366" w:sz="6" w:space="0"/>
            <w:left w:val="dotted" w:color="003366" w:sz="6" w:space="0"/>
            <w:bottom w:val="dotted" w:color="003366" w:sz="6" w:space="0"/>
            <w:right w:val="dotted" w:color="003366" w:sz="6" w:space="0"/>
            <w:insideH w:val="dotted" w:color="003366" w:sz="6" w:space="0"/>
            <w:insideV w:val="dotted" w:color="003366" w:sz="6" w:space="0"/>
          </w:tblBorders>
          <w:tblCellMar>
            <w:top w:w="0" w:type="dxa"/>
            <w:left w:w="108" w:type="dxa"/>
            <w:bottom w:w="0" w:type="dxa"/>
            <w:right w:w="108" w:type="dxa"/>
          </w:tblCellMar>
        </w:tblPrEx>
        <w:trPr>
          <w:cantSplit/>
          <w:trHeight w:val="414" w:hRule="atLeast"/>
          <w:jc w:val="center"/>
        </w:trPr>
        <w:tc>
          <w:tcPr>
            <w:tcW w:w="1974" w:type="dxa"/>
            <w:tcBorders>
              <w:top w:val="dotted" w:color="003366" w:sz="6" w:space="0"/>
              <w:left w:val="dotted" w:color="003366" w:sz="6" w:space="0"/>
              <w:bottom w:val="dotted" w:color="003366" w:sz="6" w:space="0"/>
              <w:right w:val="dotted" w:color="003366" w:sz="6" w:space="0"/>
            </w:tcBorders>
            <w:noWrap w:val="0"/>
            <w:vAlign w:val="center"/>
          </w:tcPr>
          <w:p>
            <w:pPr>
              <w:pStyle w:val="66"/>
              <w:spacing w:line="360" w:lineRule="auto"/>
              <w:jc w:val="center"/>
              <w:rPr>
                <w:rFonts w:ascii="Times New Roman" w:hAnsi="Times New Roman"/>
                <w:b/>
              </w:rPr>
            </w:pPr>
            <w:r>
              <w:rPr>
                <w:rFonts w:hint="eastAsia" w:ascii="Times New Roman" w:hAnsi="Times New Roman"/>
                <w:b/>
                <w:color w:val="000000"/>
                <w:highlight w:val="white"/>
              </w:rPr>
              <w:t>担保内容</w:t>
            </w:r>
          </w:p>
        </w:tc>
        <w:tc>
          <w:tcPr>
            <w:tcW w:w="7360" w:type="dxa"/>
            <w:gridSpan w:val="3"/>
            <w:tcBorders>
              <w:top w:val="dotted" w:color="003366" w:sz="6" w:space="0"/>
              <w:left w:val="dotted" w:color="003366" w:sz="6" w:space="0"/>
              <w:bottom w:val="dotted" w:color="003366" w:sz="6" w:space="0"/>
              <w:right w:val="dotted" w:color="003366" w:sz="6" w:space="0"/>
            </w:tcBorders>
            <w:noWrap w:val="0"/>
            <w:vAlign w:val="center"/>
          </w:tcPr>
          <w:p>
            <w:pPr>
              <w:pStyle w:val="66"/>
              <w:spacing w:line="360" w:lineRule="auto"/>
              <w:jc w:val="center"/>
              <w:rPr>
                <w:rFonts w:ascii="Times New Roman" w:hAnsi="Times New Roman"/>
              </w:rPr>
            </w:pPr>
            <w:r>
              <w:rPr>
                <w:rFonts w:hint="eastAsia" w:ascii="Times New Roman" w:hAnsi="Times New Roman"/>
                <w:color w:val="000000"/>
                <w:highlight w:val="white"/>
              </w:rPr>
              <w:t>政府采购项目合同履约过程。</w:t>
            </w:r>
          </w:p>
        </w:tc>
      </w:tr>
      <w:tr>
        <w:tblPrEx>
          <w:tblBorders>
            <w:top w:val="dotted" w:color="003366" w:sz="6" w:space="0"/>
            <w:left w:val="dotted" w:color="003366" w:sz="6" w:space="0"/>
            <w:bottom w:val="dotted" w:color="003366" w:sz="6" w:space="0"/>
            <w:right w:val="dotted" w:color="003366" w:sz="6" w:space="0"/>
            <w:insideH w:val="dotted" w:color="003366" w:sz="6" w:space="0"/>
            <w:insideV w:val="dotted" w:color="003366" w:sz="6" w:space="0"/>
          </w:tblBorders>
          <w:tblCellMar>
            <w:top w:w="0" w:type="dxa"/>
            <w:left w:w="108" w:type="dxa"/>
            <w:bottom w:w="0" w:type="dxa"/>
            <w:right w:w="108" w:type="dxa"/>
          </w:tblCellMar>
        </w:tblPrEx>
        <w:trPr>
          <w:cantSplit/>
          <w:trHeight w:val="9350" w:hRule="atLeast"/>
          <w:jc w:val="center"/>
        </w:trPr>
        <w:tc>
          <w:tcPr>
            <w:tcW w:w="9334" w:type="dxa"/>
            <w:gridSpan w:val="4"/>
            <w:tcBorders>
              <w:top w:val="dotted" w:color="003366" w:sz="6" w:space="0"/>
              <w:left w:val="dotted" w:color="003366" w:sz="6" w:space="0"/>
              <w:bottom w:val="dotted" w:color="003366" w:sz="6" w:space="0"/>
              <w:right w:val="dotted" w:color="003366" w:sz="6" w:space="0"/>
            </w:tcBorders>
            <w:noWrap w:val="0"/>
            <w:vAlign w:val="top"/>
          </w:tcPr>
          <w:p>
            <w:pPr>
              <w:pStyle w:val="66"/>
              <w:spacing w:line="276" w:lineRule="auto"/>
              <w:rPr>
                <w:rFonts w:ascii="Times New Roman" w:hAnsi="Times New Roman"/>
              </w:rPr>
            </w:pPr>
            <w:bookmarkStart w:id="1254" w:name="_Toc240108046"/>
            <w:bookmarkStart w:id="1255" w:name="_Toc389489338"/>
            <w:bookmarkStart w:id="1256" w:name="_Toc390264795"/>
            <w:bookmarkStart w:id="1257" w:name="_Toc389489456"/>
            <w:bookmarkStart w:id="1258" w:name="_Toc324867220"/>
            <w:bookmarkStart w:id="1259" w:name="_Toc240108101"/>
            <w:bookmarkStart w:id="1260" w:name="_Toc273255393"/>
            <w:r>
              <w:rPr>
                <w:rFonts w:hint="eastAsia" w:ascii="Times New Roman" w:hAnsi="Times New Roman"/>
                <w:color w:val="000000"/>
                <w:highlight w:val="white"/>
              </w:rPr>
              <w:t>致</w:t>
            </w:r>
            <w:r>
              <w:rPr>
                <w:rFonts w:hint="eastAsia" w:ascii="宋体" w:hAnsi="宋体"/>
                <w:bCs/>
                <w:color w:val="000000"/>
                <w:szCs w:val="21"/>
                <w:highlight w:val="white"/>
                <w:u w:val="single"/>
              </w:rPr>
              <w:t xml:space="preserve">          </w:t>
            </w:r>
            <w:r>
              <w:rPr>
                <w:rFonts w:hint="eastAsia" w:ascii="Times New Roman" w:hAnsi="Times New Roman"/>
                <w:color w:val="000000"/>
                <w:highlight w:val="white"/>
              </w:rPr>
              <w:t>：</w:t>
            </w:r>
            <w:bookmarkEnd w:id="1254"/>
            <w:bookmarkEnd w:id="1255"/>
            <w:bookmarkEnd w:id="1256"/>
            <w:bookmarkEnd w:id="1257"/>
            <w:bookmarkEnd w:id="1258"/>
            <w:bookmarkEnd w:id="1259"/>
            <w:bookmarkEnd w:id="1260"/>
          </w:p>
          <w:p>
            <w:pPr>
              <w:pStyle w:val="66"/>
              <w:spacing w:line="276" w:lineRule="auto"/>
              <w:rPr>
                <w:rFonts w:ascii="Times New Roman" w:hAnsi="Times New Roman"/>
              </w:rPr>
            </w:pPr>
            <w:bookmarkStart w:id="1261" w:name="_Toc240108047"/>
            <w:bookmarkStart w:id="1262" w:name="_Toc324867221"/>
            <w:bookmarkStart w:id="1263" w:name="_Toc240108102"/>
            <w:bookmarkStart w:id="1264" w:name="_Toc389489339"/>
            <w:bookmarkStart w:id="1265" w:name="_Toc389489457"/>
            <w:bookmarkStart w:id="1266" w:name="_Toc390264796"/>
            <w:bookmarkStart w:id="1267" w:name="_Toc273255394"/>
            <w:r>
              <w:rPr>
                <w:rFonts w:hint="eastAsia" w:ascii="Times New Roman" w:hAnsi="Times New Roman"/>
                <w:color w:val="000000"/>
                <w:highlight w:val="white"/>
              </w:rPr>
              <w:t>我行应被保证人的申请，开立以</w:t>
            </w:r>
            <w:r>
              <w:rPr>
                <w:rFonts w:hint="eastAsia" w:ascii="宋体" w:hAnsi="宋体"/>
                <w:bCs/>
                <w:color w:val="000000"/>
                <w:szCs w:val="21"/>
                <w:highlight w:val="white"/>
                <w:u w:val="single"/>
              </w:rPr>
              <w:t xml:space="preserve">          </w:t>
            </w:r>
            <w:r>
              <w:rPr>
                <w:rFonts w:hint="eastAsia" w:ascii="Times New Roman" w:hAnsi="Times New Roman"/>
                <w:color w:val="000000"/>
                <w:highlight w:val="white"/>
              </w:rPr>
              <w:t>为唯一受益人的银行保证函，特约定事项如下：</w:t>
            </w:r>
            <w:bookmarkEnd w:id="1261"/>
            <w:bookmarkEnd w:id="1262"/>
            <w:bookmarkEnd w:id="1263"/>
            <w:bookmarkEnd w:id="1264"/>
            <w:bookmarkEnd w:id="1265"/>
            <w:bookmarkEnd w:id="1266"/>
            <w:bookmarkEnd w:id="1267"/>
          </w:p>
          <w:p>
            <w:pPr>
              <w:pStyle w:val="66"/>
              <w:spacing w:line="276" w:lineRule="auto"/>
              <w:rPr>
                <w:rFonts w:ascii="Times New Roman" w:hAnsi="Times New Roman"/>
              </w:rPr>
            </w:pPr>
            <w:r>
              <w:rPr>
                <w:rFonts w:ascii="Times New Roman" w:hAnsi="Times New Roman"/>
                <w:color w:val="000000"/>
                <w:highlight w:val="white"/>
              </w:rPr>
              <w:t>1</w:t>
            </w:r>
            <w:r>
              <w:rPr>
                <w:rFonts w:hint="eastAsia" w:ascii="Times New Roman" w:hAnsi="Times New Roman"/>
                <w:color w:val="000000"/>
                <w:highlight w:val="white"/>
              </w:rPr>
              <w:t>、本保证函执行依据：按照受益人</w:t>
            </w:r>
            <w:r>
              <w:rPr>
                <w:rFonts w:ascii="Times New Roman" w:hAnsi="Times New Roman"/>
                <w:color w:val="000000"/>
                <w:highlight w:val="white"/>
              </w:rPr>
              <w:t>(</w:t>
            </w:r>
            <w:r>
              <w:rPr>
                <w:rFonts w:hint="eastAsia" w:ascii="Times New Roman" w:hAnsi="Times New Roman"/>
                <w:color w:val="000000"/>
                <w:highlight w:val="white"/>
              </w:rPr>
              <w:t>甲方</w:t>
            </w:r>
            <w:r>
              <w:rPr>
                <w:rFonts w:ascii="Times New Roman" w:hAnsi="Times New Roman"/>
                <w:color w:val="000000"/>
                <w:highlight w:val="white"/>
              </w:rPr>
              <w:t>)</w:t>
            </w:r>
            <w:r>
              <w:rPr>
                <w:rFonts w:hint="eastAsia" w:ascii="Times New Roman" w:hAnsi="Times New Roman"/>
                <w:color w:val="000000"/>
                <w:highlight w:val="white"/>
              </w:rPr>
              <w:t>和被保证人（乙方）共同签订并已生效的政府采购合同（含附件）、相关补充合同及已确认的书面承诺。</w:t>
            </w:r>
          </w:p>
          <w:p>
            <w:pPr>
              <w:pStyle w:val="66"/>
              <w:spacing w:line="276" w:lineRule="auto"/>
              <w:rPr>
                <w:rFonts w:ascii="Times New Roman" w:hAnsi="Times New Roman"/>
              </w:rPr>
            </w:pPr>
            <w:r>
              <w:rPr>
                <w:rFonts w:ascii="Times New Roman" w:hAnsi="Times New Roman"/>
                <w:color w:val="000000"/>
                <w:highlight w:val="white"/>
              </w:rPr>
              <w:t>2</w:t>
            </w:r>
            <w:r>
              <w:rPr>
                <w:rFonts w:hint="eastAsia" w:ascii="Times New Roman" w:hAnsi="Times New Roman"/>
                <w:color w:val="000000"/>
                <w:highlight w:val="white"/>
              </w:rPr>
              <w:t>、本保证函执行支付条件：在以上合同系列文件执行过程中，被保证人（乙方）出现未能履行各项应尽责任义务，损害了受益人</w:t>
            </w:r>
            <w:r>
              <w:rPr>
                <w:rFonts w:ascii="Times New Roman" w:hAnsi="Times New Roman"/>
                <w:color w:val="000000"/>
                <w:highlight w:val="white"/>
              </w:rPr>
              <w:t>(</w:t>
            </w:r>
            <w:r>
              <w:rPr>
                <w:rFonts w:hint="eastAsia" w:ascii="Times New Roman" w:hAnsi="Times New Roman"/>
                <w:color w:val="000000"/>
                <w:highlight w:val="white"/>
              </w:rPr>
              <w:t>甲方</w:t>
            </w:r>
            <w:r>
              <w:rPr>
                <w:rFonts w:ascii="Times New Roman" w:hAnsi="Times New Roman"/>
                <w:color w:val="000000"/>
                <w:highlight w:val="white"/>
              </w:rPr>
              <w:t>)</w:t>
            </w:r>
            <w:r>
              <w:rPr>
                <w:rFonts w:hint="eastAsia" w:ascii="Times New Roman" w:hAnsi="Times New Roman"/>
                <w:color w:val="000000"/>
                <w:highlight w:val="white"/>
              </w:rPr>
              <w:t>的权益行为。</w:t>
            </w:r>
          </w:p>
          <w:p>
            <w:pPr>
              <w:pStyle w:val="66"/>
              <w:spacing w:line="276" w:lineRule="auto"/>
              <w:rPr>
                <w:rFonts w:ascii="Times New Roman" w:hAnsi="Times New Roman"/>
              </w:rPr>
            </w:pPr>
            <w:r>
              <w:rPr>
                <w:rFonts w:ascii="Times New Roman" w:hAnsi="Times New Roman"/>
                <w:color w:val="000000"/>
                <w:highlight w:val="white"/>
              </w:rPr>
              <w:t>3</w:t>
            </w:r>
            <w:r>
              <w:rPr>
                <w:rFonts w:hint="eastAsia" w:ascii="Times New Roman" w:hAnsi="Times New Roman"/>
                <w:color w:val="000000"/>
                <w:highlight w:val="white"/>
              </w:rPr>
              <w:t>、我行将在收到贵方的支付通知后</w:t>
            </w:r>
            <w:r>
              <w:rPr>
                <w:rFonts w:ascii="Times New Roman" w:hAnsi="Times New Roman"/>
                <w:color w:val="000000"/>
                <w:highlight w:val="white"/>
              </w:rPr>
              <w:t>3</w:t>
            </w:r>
            <w:r>
              <w:rPr>
                <w:rFonts w:hint="eastAsia" w:ascii="Times New Roman" w:hAnsi="Times New Roman"/>
                <w:color w:val="000000"/>
                <w:highlight w:val="white"/>
              </w:rPr>
              <w:t>个工作日内，以保函金额为限向贵方执行支付。无论被保证人有任何异议，只要贵方确定，本行将严格按法定的程序和时限忠实地履行自身应尽义务。</w:t>
            </w:r>
          </w:p>
          <w:p>
            <w:pPr>
              <w:pStyle w:val="66"/>
              <w:spacing w:line="276" w:lineRule="auto"/>
              <w:rPr>
                <w:rFonts w:ascii="Times New Roman" w:hAnsi="Times New Roman"/>
              </w:rPr>
            </w:pPr>
            <w:r>
              <w:rPr>
                <w:rFonts w:hint="eastAsia" w:ascii="Times New Roman" w:hAnsi="Times New Roman"/>
                <w:color w:val="000000"/>
                <w:highlight w:val="white"/>
              </w:rPr>
              <w:t>若由于贵方出具的执行支付指令存有错误和失当时，均由出具指令方承担相应的责任和赔偿，与本行无关。</w:t>
            </w:r>
          </w:p>
          <w:p>
            <w:pPr>
              <w:pStyle w:val="66"/>
              <w:spacing w:line="276" w:lineRule="auto"/>
              <w:rPr>
                <w:rFonts w:ascii="Times New Roman" w:hAnsi="Times New Roman"/>
              </w:rPr>
            </w:pPr>
            <w:r>
              <w:rPr>
                <w:rFonts w:ascii="Times New Roman" w:hAnsi="Times New Roman"/>
                <w:color w:val="000000"/>
                <w:highlight w:val="white"/>
              </w:rPr>
              <w:t>4</w:t>
            </w:r>
            <w:r>
              <w:rPr>
                <w:rFonts w:hint="eastAsia" w:ascii="Times New Roman" w:hAnsi="Times New Roman"/>
                <w:color w:val="000000"/>
                <w:highlight w:val="white"/>
              </w:rPr>
              <w:t>、本保证函已规定和构成了本行无条件、不可撤销的直接支付义务，我行尊重和服从贵方的支付指令及意愿。如甲乙双方今后出现对合同条款的修改、调整、争议及终止等情形，均不能解除本行的缔约责任和义务。</w:t>
            </w:r>
          </w:p>
          <w:p>
            <w:pPr>
              <w:pStyle w:val="66"/>
              <w:spacing w:line="276" w:lineRule="auto"/>
              <w:rPr>
                <w:rFonts w:ascii="Times New Roman" w:hAnsi="Times New Roman"/>
              </w:rPr>
            </w:pPr>
            <w:r>
              <w:rPr>
                <w:rFonts w:ascii="Times New Roman" w:hAnsi="Times New Roman"/>
                <w:color w:val="000000"/>
                <w:highlight w:val="white"/>
              </w:rPr>
              <w:t>5</w:t>
            </w:r>
            <w:r>
              <w:rPr>
                <w:rFonts w:hint="eastAsia" w:ascii="Times New Roman" w:hAnsi="Times New Roman"/>
                <w:color w:val="000000"/>
                <w:highlight w:val="white"/>
              </w:rPr>
              <w:t>、本保证金项下的支付额均为免税和净值，在指定受益人以外任何人，无论以何种理由提出扣减、转移现有或未来的一切税、费、净收益、或有的权益债务等，本行均不予接纳受理。</w:t>
            </w:r>
          </w:p>
          <w:p>
            <w:pPr>
              <w:pStyle w:val="66"/>
              <w:spacing w:line="276" w:lineRule="auto"/>
              <w:rPr>
                <w:rFonts w:ascii="Times New Roman" w:hAnsi="Times New Roman"/>
              </w:rPr>
            </w:pPr>
            <w:r>
              <w:rPr>
                <w:rFonts w:ascii="Times New Roman" w:hAnsi="Times New Roman"/>
                <w:color w:val="000000"/>
                <w:highlight w:val="white"/>
              </w:rPr>
              <w:t>6</w:t>
            </w:r>
            <w:r>
              <w:rPr>
                <w:rFonts w:hint="eastAsia" w:ascii="Times New Roman" w:hAnsi="Times New Roman"/>
                <w:color w:val="000000"/>
                <w:highlight w:val="white"/>
              </w:rPr>
              <w:t>、本行对上述保证项内容的权利义务出现缔约过失时，将承担一切法律责任和经济赔偿。</w:t>
            </w:r>
          </w:p>
          <w:p>
            <w:pPr>
              <w:pStyle w:val="66"/>
              <w:spacing w:line="276" w:lineRule="auto"/>
              <w:rPr>
                <w:rFonts w:ascii="Times New Roman" w:hAnsi="Times New Roman"/>
              </w:rPr>
            </w:pPr>
            <w:r>
              <w:rPr>
                <w:rFonts w:ascii="Times New Roman" w:hAnsi="Times New Roman"/>
                <w:color w:val="000000"/>
                <w:highlight w:val="white"/>
              </w:rPr>
              <w:t>7</w:t>
            </w:r>
            <w:r>
              <w:rPr>
                <w:rFonts w:hint="eastAsia" w:ascii="Times New Roman" w:hAnsi="Times New Roman"/>
                <w:color w:val="000000"/>
                <w:highlight w:val="white"/>
              </w:rPr>
              <w:t>、本担保函适用中华人民共和国法律。若在履行本保函过程中发生争议，应先由各方协商解决；协商未果，可向佛山市地方人民法院以诉讼方式解决。</w:t>
            </w:r>
          </w:p>
          <w:p>
            <w:pPr>
              <w:pStyle w:val="66"/>
              <w:spacing w:line="276" w:lineRule="auto"/>
              <w:rPr>
                <w:rFonts w:ascii="Times New Roman" w:hAnsi="Times New Roman"/>
              </w:rPr>
            </w:pPr>
          </w:p>
          <w:p>
            <w:pPr>
              <w:pStyle w:val="66"/>
              <w:spacing w:line="276" w:lineRule="auto"/>
              <w:rPr>
                <w:rFonts w:ascii="Times New Roman" w:hAnsi="Times New Roman"/>
              </w:rPr>
            </w:pPr>
            <w:r>
              <w:rPr>
                <w:rFonts w:hint="eastAsia" w:ascii="Times New Roman" w:hAnsi="Times New Roman"/>
                <w:color w:val="000000"/>
                <w:highlight w:val="white"/>
              </w:rPr>
              <w:t>开函银行：</w:t>
            </w:r>
            <w:r>
              <w:rPr>
                <w:rFonts w:ascii="Times New Roman" w:hAnsi="Times New Roman"/>
                <w:color w:val="000000"/>
                <w:highlight w:val="white"/>
              </w:rPr>
              <w:t xml:space="preserve">                          </w:t>
            </w:r>
            <w:r>
              <w:rPr>
                <w:rFonts w:hint="eastAsia" w:ascii="Times New Roman" w:hAnsi="Times New Roman"/>
                <w:color w:val="000000"/>
                <w:highlight w:val="white"/>
              </w:rPr>
              <w:t>（盖章）</w:t>
            </w:r>
          </w:p>
          <w:p>
            <w:pPr>
              <w:pStyle w:val="66"/>
              <w:spacing w:line="276" w:lineRule="auto"/>
              <w:rPr>
                <w:rFonts w:ascii="Times New Roman" w:hAnsi="Times New Roman"/>
              </w:rPr>
            </w:pPr>
            <w:r>
              <w:rPr>
                <w:rFonts w:hint="eastAsia" w:ascii="Times New Roman" w:hAnsi="Times New Roman"/>
                <w:color w:val="000000"/>
                <w:highlight w:val="white"/>
              </w:rPr>
              <w:t>授权代理人：</w:t>
            </w:r>
            <w:r>
              <w:rPr>
                <w:rFonts w:ascii="Times New Roman" w:hAnsi="Times New Roman"/>
                <w:color w:val="000000"/>
                <w:highlight w:val="white"/>
              </w:rPr>
              <w:t xml:space="preserve">                        </w:t>
            </w:r>
            <w:r>
              <w:rPr>
                <w:rFonts w:hint="eastAsia" w:ascii="Times New Roman" w:hAnsi="Times New Roman"/>
                <w:color w:val="000000"/>
                <w:highlight w:val="white"/>
              </w:rPr>
              <w:t>（签章）</w:t>
            </w:r>
          </w:p>
          <w:p>
            <w:pPr>
              <w:pStyle w:val="66"/>
              <w:spacing w:line="276" w:lineRule="auto"/>
              <w:rPr>
                <w:rFonts w:ascii="Times New Roman" w:hAnsi="Times New Roman"/>
              </w:rPr>
            </w:pPr>
            <w:r>
              <w:rPr>
                <w:rFonts w:hint="eastAsia" w:ascii="Times New Roman" w:hAnsi="Times New Roman"/>
                <w:color w:val="000000"/>
                <w:highlight w:val="white"/>
              </w:rPr>
              <w:t>所在地址：</w:t>
            </w:r>
            <w:r>
              <w:rPr>
                <w:rFonts w:ascii="Times New Roman" w:hAnsi="Times New Roman"/>
                <w:color w:val="000000"/>
                <w:highlight w:val="white"/>
              </w:rPr>
              <w:t xml:space="preserve">                            </w:t>
            </w:r>
            <w:r>
              <w:rPr>
                <w:rFonts w:hint="eastAsia" w:ascii="Times New Roman" w:hAnsi="Times New Roman"/>
                <w:color w:val="000000"/>
                <w:highlight w:val="white"/>
              </w:rPr>
              <w:t>电话：</w:t>
            </w:r>
            <w:r>
              <w:rPr>
                <w:rFonts w:ascii="Times New Roman" w:hAnsi="Times New Roman"/>
                <w:color w:val="000000"/>
                <w:highlight w:val="white"/>
              </w:rPr>
              <w:t xml:space="preserve">             </w:t>
            </w:r>
            <w:r>
              <w:rPr>
                <w:rFonts w:hint="eastAsia" w:ascii="Times New Roman" w:hAnsi="Times New Roman"/>
                <w:color w:val="000000"/>
                <w:highlight w:val="white"/>
              </w:rPr>
              <w:t>传真：</w:t>
            </w:r>
          </w:p>
          <w:p>
            <w:pPr>
              <w:pStyle w:val="66"/>
              <w:spacing w:line="276" w:lineRule="auto"/>
              <w:rPr>
                <w:bCs/>
              </w:rPr>
            </w:pPr>
            <w:r>
              <w:rPr>
                <w:rFonts w:hint="eastAsia" w:ascii="Times New Roman" w:hAnsi="Times New Roman"/>
                <w:color w:val="000000"/>
                <w:highlight w:val="white"/>
              </w:rPr>
              <w:t>生效日期：</w:t>
            </w:r>
            <w:r>
              <w:rPr>
                <w:rFonts w:ascii="Times New Roman" w:hAnsi="Times New Roman"/>
                <w:color w:val="000000"/>
                <w:highlight w:val="white"/>
              </w:rPr>
              <w:t xml:space="preserve">    </w:t>
            </w:r>
            <w:r>
              <w:rPr>
                <w:rFonts w:hint="eastAsia" w:ascii="Times New Roman" w:hAnsi="Times New Roman"/>
                <w:color w:val="000000"/>
                <w:highlight w:val="white"/>
              </w:rPr>
              <w:t>年</w:t>
            </w:r>
            <w:r>
              <w:rPr>
                <w:rFonts w:ascii="Times New Roman" w:hAnsi="Times New Roman"/>
                <w:color w:val="000000"/>
                <w:highlight w:val="white"/>
              </w:rPr>
              <w:t xml:space="preserve">    </w:t>
            </w:r>
            <w:r>
              <w:rPr>
                <w:rFonts w:hint="eastAsia" w:ascii="Times New Roman" w:hAnsi="Times New Roman"/>
                <w:color w:val="000000"/>
                <w:highlight w:val="white"/>
              </w:rPr>
              <w:t>月</w:t>
            </w:r>
            <w:r>
              <w:rPr>
                <w:rFonts w:ascii="Times New Roman" w:hAnsi="Times New Roman"/>
                <w:color w:val="000000"/>
                <w:highlight w:val="white"/>
              </w:rPr>
              <w:t xml:space="preserve">    </w:t>
            </w:r>
            <w:r>
              <w:rPr>
                <w:rFonts w:hint="eastAsia" w:ascii="Times New Roman" w:hAnsi="Times New Roman"/>
                <w:color w:val="000000"/>
                <w:highlight w:val="white"/>
              </w:rPr>
              <w:t>日签发生效；</w:t>
            </w:r>
            <w:r>
              <w:rPr>
                <w:rFonts w:ascii="Times New Roman" w:hAnsi="Times New Roman"/>
                <w:color w:val="000000"/>
                <w:highlight w:val="white"/>
              </w:rPr>
              <w:t xml:space="preserve">     </w:t>
            </w:r>
            <w:r>
              <w:rPr>
                <w:rFonts w:hint="eastAsia" w:ascii="Times New Roman" w:hAnsi="Times New Roman"/>
                <w:color w:val="000000"/>
                <w:highlight w:val="white"/>
              </w:rPr>
              <w:t>履约地：广东省佛山市</w:t>
            </w:r>
          </w:p>
        </w:tc>
      </w:tr>
    </w:tbl>
    <w:p>
      <w:pPr>
        <w:pStyle w:val="92"/>
        <w:spacing w:line="360" w:lineRule="auto"/>
        <w:rPr>
          <w:rFonts w:hint="eastAsia"/>
          <w:b/>
          <w:color w:val="000000"/>
          <w:sz w:val="24"/>
          <w:szCs w:val="24"/>
          <w:highlight w:val="white"/>
        </w:rPr>
      </w:pPr>
      <w:r>
        <w:rPr>
          <w:rFonts w:hint="eastAsia" w:ascii="Times New Roman" w:hAnsi="Times New Roman"/>
          <w:color w:val="000000"/>
          <w:szCs w:val="21"/>
          <w:highlight w:val="white"/>
          <w:lang w:val="en-GB"/>
        </w:rPr>
        <w:t>注：此担保函供参考，在具体开列时必须涵盖以上内容，且须经甲方确认同意后方为有效。</w:t>
      </w:r>
    </w:p>
    <w:p>
      <w:pPr>
        <w:pStyle w:val="92"/>
        <w:spacing w:line="360" w:lineRule="auto"/>
        <w:rPr>
          <w:rFonts w:hint="eastAsia"/>
          <w:b/>
          <w:color w:val="000000"/>
          <w:sz w:val="24"/>
          <w:szCs w:val="24"/>
          <w:highlight w:val="white"/>
          <w:lang w:val="en-GB"/>
        </w:rPr>
      </w:pPr>
    </w:p>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Pr>
        <w:rPr>
          <w:rFonts w:hint="eastAsia"/>
          <w:kern w:val="0"/>
          <w:sz w:val="52"/>
          <w:szCs w:val="20"/>
        </w:rPr>
      </w:pPr>
      <w:r>
        <w:rPr>
          <w:rFonts w:hint="eastAsia"/>
          <w:kern w:val="0"/>
          <w:sz w:val="52"/>
          <w:szCs w:val="20"/>
        </w:rPr>
        <w:br w:type="page"/>
      </w:r>
    </w:p>
    <w:p>
      <w:pPr>
        <w:keepNext w:val="0"/>
        <w:keepLines w:val="0"/>
        <w:pageBreakBefore w:val="0"/>
        <w:widowControl w:val="0"/>
        <w:kinsoku/>
        <w:wordWrap/>
        <w:overflowPunct/>
        <w:topLinePunct w:val="0"/>
        <w:autoSpaceDE/>
        <w:autoSpaceDN/>
        <w:bidi w:val="0"/>
        <w:adjustRightInd/>
        <w:snapToGrid/>
        <w:spacing w:line="216" w:lineRule="auto"/>
        <w:jc w:val="center"/>
        <w:textAlignment w:val="auto"/>
        <w:outlineLvl w:val="9"/>
        <w:rPr>
          <w:rFonts w:hint="eastAsia"/>
          <w:kern w:val="0"/>
          <w:sz w:val="52"/>
          <w:szCs w:val="20"/>
        </w:rPr>
      </w:pPr>
    </w:p>
    <w:p>
      <w:pPr>
        <w:keepNext w:val="0"/>
        <w:keepLines w:val="0"/>
        <w:pageBreakBefore w:val="0"/>
        <w:widowControl w:val="0"/>
        <w:kinsoku/>
        <w:wordWrap/>
        <w:overflowPunct/>
        <w:topLinePunct w:val="0"/>
        <w:autoSpaceDE/>
        <w:autoSpaceDN/>
        <w:bidi w:val="0"/>
        <w:adjustRightInd/>
        <w:snapToGrid/>
        <w:spacing w:line="216" w:lineRule="auto"/>
        <w:jc w:val="center"/>
        <w:textAlignment w:val="auto"/>
        <w:outlineLvl w:val="9"/>
        <w:rPr>
          <w:rFonts w:hint="eastAsia"/>
          <w:kern w:val="0"/>
          <w:sz w:val="52"/>
          <w:szCs w:val="20"/>
        </w:rPr>
      </w:pPr>
    </w:p>
    <w:p>
      <w:pPr>
        <w:keepNext w:val="0"/>
        <w:keepLines w:val="0"/>
        <w:pageBreakBefore w:val="0"/>
        <w:widowControl w:val="0"/>
        <w:kinsoku/>
        <w:wordWrap/>
        <w:overflowPunct/>
        <w:topLinePunct w:val="0"/>
        <w:autoSpaceDE/>
        <w:autoSpaceDN/>
        <w:bidi w:val="0"/>
        <w:adjustRightInd/>
        <w:snapToGrid/>
        <w:spacing w:line="216" w:lineRule="auto"/>
        <w:jc w:val="center"/>
        <w:textAlignment w:val="auto"/>
        <w:outlineLvl w:val="9"/>
        <w:rPr>
          <w:rFonts w:hint="eastAsia"/>
          <w:kern w:val="0"/>
          <w:sz w:val="52"/>
          <w:szCs w:val="20"/>
        </w:rPr>
      </w:pPr>
    </w:p>
    <w:p>
      <w:pPr>
        <w:keepNext w:val="0"/>
        <w:keepLines w:val="0"/>
        <w:pageBreakBefore w:val="0"/>
        <w:widowControl w:val="0"/>
        <w:kinsoku/>
        <w:wordWrap/>
        <w:overflowPunct/>
        <w:topLinePunct w:val="0"/>
        <w:autoSpaceDE/>
        <w:autoSpaceDN/>
        <w:bidi w:val="0"/>
        <w:adjustRightInd/>
        <w:snapToGrid/>
        <w:spacing w:line="216" w:lineRule="auto"/>
        <w:jc w:val="center"/>
        <w:textAlignment w:val="auto"/>
        <w:outlineLvl w:val="9"/>
        <w:rPr>
          <w:rFonts w:hint="eastAsia"/>
          <w:kern w:val="0"/>
          <w:sz w:val="52"/>
          <w:szCs w:val="20"/>
        </w:rPr>
      </w:pPr>
    </w:p>
    <w:p>
      <w:pPr>
        <w:keepNext w:val="0"/>
        <w:keepLines w:val="0"/>
        <w:pageBreakBefore w:val="0"/>
        <w:widowControl w:val="0"/>
        <w:kinsoku/>
        <w:wordWrap/>
        <w:overflowPunct/>
        <w:topLinePunct w:val="0"/>
        <w:autoSpaceDE/>
        <w:autoSpaceDN/>
        <w:bidi w:val="0"/>
        <w:adjustRightInd/>
        <w:snapToGrid/>
        <w:spacing w:line="216" w:lineRule="auto"/>
        <w:jc w:val="center"/>
        <w:textAlignment w:val="auto"/>
        <w:outlineLvl w:val="9"/>
        <w:rPr>
          <w:rFonts w:hint="eastAsia"/>
          <w:kern w:val="0"/>
          <w:sz w:val="52"/>
          <w:szCs w:val="20"/>
        </w:rPr>
      </w:pPr>
    </w:p>
    <w:p>
      <w:pPr>
        <w:keepNext w:val="0"/>
        <w:keepLines w:val="0"/>
        <w:pageBreakBefore w:val="0"/>
        <w:widowControl w:val="0"/>
        <w:kinsoku/>
        <w:wordWrap/>
        <w:overflowPunct/>
        <w:topLinePunct w:val="0"/>
        <w:autoSpaceDE/>
        <w:autoSpaceDN/>
        <w:bidi w:val="0"/>
        <w:adjustRightInd/>
        <w:snapToGrid/>
        <w:spacing w:line="216" w:lineRule="auto"/>
        <w:jc w:val="center"/>
        <w:textAlignment w:val="auto"/>
        <w:outlineLvl w:val="9"/>
        <w:rPr>
          <w:rFonts w:hint="eastAsia"/>
          <w:kern w:val="0"/>
          <w:sz w:val="52"/>
          <w:szCs w:val="20"/>
        </w:rPr>
      </w:pPr>
    </w:p>
    <w:p>
      <w:pPr>
        <w:keepNext w:val="0"/>
        <w:keepLines w:val="0"/>
        <w:pageBreakBefore w:val="0"/>
        <w:widowControl w:val="0"/>
        <w:kinsoku/>
        <w:wordWrap/>
        <w:overflowPunct/>
        <w:topLinePunct w:val="0"/>
        <w:autoSpaceDE/>
        <w:autoSpaceDN/>
        <w:bidi w:val="0"/>
        <w:adjustRightInd/>
        <w:snapToGrid/>
        <w:spacing w:line="216" w:lineRule="auto"/>
        <w:jc w:val="center"/>
        <w:textAlignment w:val="auto"/>
        <w:outlineLvl w:val="9"/>
        <w:rPr>
          <w:rFonts w:hint="eastAsia"/>
          <w:kern w:val="0"/>
          <w:sz w:val="52"/>
          <w:szCs w:val="20"/>
        </w:rPr>
      </w:pPr>
    </w:p>
    <w:p>
      <w:pPr>
        <w:keepNext w:val="0"/>
        <w:keepLines w:val="0"/>
        <w:pageBreakBefore w:val="0"/>
        <w:widowControl w:val="0"/>
        <w:kinsoku/>
        <w:wordWrap/>
        <w:overflowPunct/>
        <w:topLinePunct w:val="0"/>
        <w:autoSpaceDE/>
        <w:autoSpaceDN/>
        <w:bidi w:val="0"/>
        <w:adjustRightInd/>
        <w:snapToGrid/>
        <w:spacing w:line="216" w:lineRule="auto"/>
        <w:jc w:val="center"/>
        <w:textAlignment w:val="auto"/>
        <w:outlineLvl w:val="9"/>
        <w:rPr>
          <w:rFonts w:hint="eastAsia"/>
          <w:kern w:val="0"/>
          <w:sz w:val="52"/>
          <w:szCs w:val="20"/>
        </w:rPr>
      </w:pPr>
    </w:p>
    <w:p>
      <w:pPr>
        <w:keepNext w:val="0"/>
        <w:keepLines w:val="0"/>
        <w:pageBreakBefore w:val="0"/>
        <w:widowControl w:val="0"/>
        <w:kinsoku/>
        <w:wordWrap/>
        <w:overflowPunct/>
        <w:topLinePunct w:val="0"/>
        <w:autoSpaceDE/>
        <w:autoSpaceDN/>
        <w:bidi w:val="0"/>
        <w:adjustRightInd/>
        <w:snapToGrid/>
        <w:spacing w:line="216" w:lineRule="auto"/>
        <w:jc w:val="center"/>
        <w:textAlignment w:val="auto"/>
        <w:outlineLvl w:val="9"/>
        <w:rPr>
          <w:rFonts w:hint="eastAsia"/>
          <w:kern w:val="0"/>
          <w:sz w:val="52"/>
          <w:szCs w:val="20"/>
        </w:rPr>
      </w:pPr>
    </w:p>
    <w:p>
      <w:pPr>
        <w:spacing w:line="216" w:lineRule="auto"/>
        <w:jc w:val="center"/>
        <w:outlineLvl w:val="0"/>
        <w:rPr>
          <w:kern w:val="0"/>
          <w:sz w:val="52"/>
          <w:szCs w:val="20"/>
        </w:rPr>
      </w:pPr>
      <w:bookmarkStart w:id="1268" w:name="_Toc21993"/>
      <w:r>
        <w:rPr>
          <w:rFonts w:hint="eastAsia"/>
          <w:kern w:val="0"/>
          <w:sz w:val="52"/>
          <w:szCs w:val="20"/>
        </w:rPr>
        <w:t>第五部分   响应文件格式</w:t>
      </w:r>
      <w:bookmarkEnd w:id="1268"/>
    </w:p>
    <w:p/>
    <w:p>
      <w:pPr>
        <w:pageBreakBefore/>
        <w:spacing w:line="360" w:lineRule="auto"/>
        <w:jc w:val="center"/>
        <w:rPr>
          <w:b/>
          <w:sz w:val="32"/>
          <w:szCs w:val="32"/>
        </w:rPr>
      </w:pPr>
      <w:bookmarkStart w:id="1269" w:name="_投标资格文件清单"/>
      <w:bookmarkEnd w:id="1269"/>
      <w:bookmarkStart w:id="1270" w:name="_投标文件目录"/>
      <w:bookmarkEnd w:id="1270"/>
      <w:bookmarkStart w:id="1271" w:name="_法定代表人授权书"/>
      <w:bookmarkEnd w:id="1271"/>
      <w:bookmarkStart w:id="1272" w:name="_初审文件清单"/>
      <w:bookmarkEnd w:id="1272"/>
      <w:bookmarkStart w:id="1273" w:name="_资格性文件清单"/>
      <w:bookmarkEnd w:id="1273"/>
      <w:bookmarkStart w:id="1274" w:name="_Toc217623813"/>
      <w:bookmarkStart w:id="1275" w:name="_Toc286240891"/>
      <w:bookmarkStart w:id="1276" w:name="_Toc224094430"/>
      <w:bookmarkStart w:id="1277" w:name="_Toc32136"/>
      <w:bookmarkStart w:id="1278" w:name="_Toc10327"/>
      <w:bookmarkStart w:id="1279" w:name="_Toc136662939"/>
      <w:bookmarkStart w:id="1280" w:name="_Toc136682915"/>
      <w:bookmarkStart w:id="1281" w:name="_Toc159385074"/>
      <w:bookmarkStart w:id="1282" w:name="_Toc37670363"/>
      <w:bookmarkStart w:id="1283" w:name="_Toc49329265"/>
      <w:bookmarkStart w:id="1284" w:name="_Toc29817726"/>
      <w:bookmarkStart w:id="1285" w:name="_Toc25726413"/>
      <w:bookmarkStart w:id="1286" w:name="_Toc26261460"/>
      <w:bookmarkStart w:id="1287" w:name="_Hlt113175081"/>
      <w:bookmarkStart w:id="1288" w:name="_Hlt113163463"/>
      <w:bookmarkStart w:id="1289" w:name="_Hlt113163462"/>
      <w:bookmarkStart w:id="1290" w:name="_Toc34980753"/>
      <w:bookmarkStart w:id="1291" w:name="_Hlt113175082"/>
      <w:r>
        <w:rPr>
          <w:rFonts w:hint="eastAsia"/>
          <w:b/>
          <w:sz w:val="32"/>
          <w:szCs w:val="32"/>
        </w:rPr>
        <w:t>投标文件封面及目录部分</w:t>
      </w:r>
      <w:bookmarkEnd w:id="1274"/>
      <w:bookmarkEnd w:id="1275"/>
      <w:bookmarkEnd w:id="1276"/>
    </w:p>
    <w:p>
      <w:pPr>
        <w:spacing w:line="312" w:lineRule="auto"/>
        <w:ind w:firstLine="275" w:firstLineChars="98"/>
        <w:rPr>
          <w:b/>
          <w:sz w:val="28"/>
          <w:szCs w:val="28"/>
        </w:rPr>
      </w:pPr>
    </w:p>
    <w:p>
      <w:pPr>
        <w:numPr>
          <w:ilvl w:val="0"/>
          <w:numId w:val="22"/>
        </w:numPr>
        <w:tabs>
          <w:tab w:val="left" w:pos="720"/>
          <w:tab w:val="clear" w:pos="695"/>
        </w:tabs>
        <w:spacing w:line="360" w:lineRule="auto"/>
        <w:ind w:left="720" w:hanging="540"/>
        <w:rPr>
          <w:b/>
          <w:sz w:val="28"/>
          <w:szCs w:val="28"/>
        </w:rPr>
      </w:pPr>
      <w:r>
        <w:rPr>
          <w:rFonts w:hint="eastAsia"/>
          <w:b/>
          <w:sz w:val="28"/>
          <w:szCs w:val="28"/>
        </w:rPr>
        <w:t>供应商应按本《竞争性磋商文件》要求，自行设计和编制</w:t>
      </w:r>
      <w:r>
        <w:rPr>
          <w:rFonts w:hint="eastAsia" w:ascii="宋体" w:hAnsi="宋体"/>
          <w:b/>
          <w:bCs/>
          <w:sz w:val="28"/>
          <w:szCs w:val="28"/>
        </w:rPr>
        <w:t>响应</w:t>
      </w:r>
      <w:r>
        <w:rPr>
          <w:rFonts w:hint="eastAsia"/>
          <w:b/>
          <w:sz w:val="28"/>
          <w:szCs w:val="28"/>
        </w:rPr>
        <w:t>文件的封面和目录部分。</w:t>
      </w:r>
    </w:p>
    <w:p>
      <w:pPr>
        <w:numPr>
          <w:ilvl w:val="0"/>
          <w:numId w:val="22"/>
        </w:numPr>
        <w:tabs>
          <w:tab w:val="left" w:pos="720"/>
          <w:tab w:val="clear" w:pos="695"/>
        </w:tabs>
        <w:spacing w:line="360" w:lineRule="auto"/>
        <w:ind w:left="900" w:hanging="720"/>
        <w:rPr>
          <w:b/>
          <w:sz w:val="28"/>
          <w:szCs w:val="28"/>
        </w:rPr>
      </w:pPr>
      <w:r>
        <w:rPr>
          <w:rFonts w:hint="eastAsia" w:ascii="宋体" w:hAnsi="宋体"/>
          <w:b/>
          <w:bCs/>
          <w:sz w:val="28"/>
          <w:szCs w:val="28"/>
        </w:rPr>
        <w:t>响应</w:t>
      </w:r>
      <w:r>
        <w:rPr>
          <w:rFonts w:hint="eastAsia"/>
          <w:b/>
          <w:sz w:val="28"/>
          <w:szCs w:val="28"/>
        </w:rPr>
        <w:t>文件封面上须包含但不限于以下内容：</w:t>
      </w:r>
    </w:p>
    <w:p>
      <w:pPr>
        <w:numPr>
          <w:ilvl w:val="1"/>
          <w:numId w:val="22"/>
        </w:numPr>
        <w:tabs>
          <w:tab w:val="left" w:pos="1440"/>
        </w:tabs>
        <w:spacing w:line="360" w:lineRule="auto"/>
        <w:ind w:hanging="215"/>
        <w:rPr>
          <w:rFonts w:ascii="宋体" w:hAnsi="宋体"/>
          <w:sz w:val="24"/>
          <w:lang w:val="en-GB"/>
        </w:rPr>
      </w:pPr>
      <w:r>
        <w:rPr>
          <w:rFonts w:hint="eastAsia" w:ascii="宋体" w:hAnsi="宋体"/>
          <w:sz w:val="24"/>
          <w:lang w:val="en-GB"/>
        </w:rPr>
        <w:t>项目名称和项目编号；</w:t>
      </w:r>
    </w:p>
    <w:p>
      <w:pPr>
        <w:numPr>
          <w:ilvl w:val="1"/>
          <w:numId w:val="22"/>
        </w:numPr>
        <w:tabs>
          <w:tab w:val="left" w:pos="1440"/>
        </w:tabs>
        <w:spacing w:line="360" w:lineRule="auto"/>
        <w:ind w:hanging="215"/>
        <w:rPr>
          <w:rFonts w:ascii="宋体" w:hAnsi="宋体"/>
          <w:sz w:val="24"/>
          <w:lang w:val="en-GB"/>
        </w:rPr>
      </w:pPr>
      <w:r>
        <w:rPr>
          <w:rFonts w:hint="eastAsia" w:ascii="宋体" w:hAnsi="宋体"/>
          <w:sz w:val="24"/>
          <w:lang w:val="en-GB"/>
        </w:rPr>
        <w:t>供应商名称；</w:t>
      </w:r>
    </w:p>
    <w:p>
      <w:pPr>
        <w:numPr>
          <w:ilvl w:val="1"/>
          <w:numId w:val="22"/>
        </w:numPr>
        <w:tabs>
          <w:tab w:val="left" w:pos="1440"/>
        </w:tabs>
        <w:spacing w:line="360" w:lineRule="auto"/>
        <w:ind w:hanging="215"/>
        <w:rPr>
          <w:rFonts w:ascii="宋体" w:hAnsi="宋体"/>
          <w:sz w:val="24"/>
          <w:lang w:val="en-GB"/>
        </w:rPr>
      </w:pPr>
      <w:r>
        <w:rPr>
          <w:rFonts w:hint="eastAsia" w:ascii="宋体" w:hAnsi="宋体"/>
          <w:sz w:val="24"/>
          <w:lang w:val="en-GB"/>
        </w:rPr>
        <w:t>授权代表姓名及联系电话（含传真号码）</w:t>
      </w:r>
    </w:p>
    <w:p>
      <w:pPr>
        <w:numPr>
          <w:ilvl w:val="1"/>
          <w:numId w:val="22"/>
        </w:numPr>
        <w:tabs>
          <w:tab w:val="left" w:pos="1440"/>
        </w:tabs>
        <w:spacing w:line="360" w:lineRule="auto"/>
        <w:ind w:hanging="215"/>
        <w:rPr>
          <w:rFonts w:ascii="宋体" w:hAnsi="宋体"/>
          <w:sz w:val="24"/>
          <w:lang w:val="en-GB"/>
        </w:rPr>
      </w:pPr>
      <w:r>
        <w:rPr>
          <w:rFonts w:hint="eastAsia" w:ascii="宋体" w:hAnsi="宋体"/>
          <w:sz w:val="24"/>
          <w:lang w:val="en-GB"/>
        </w:rPr>
        <w:t>注明“正本”或“副本”字样。</w:t>
      </w:r>
    </w:p>
    <w:p>
      <w:pPr>
        <w:numPr>
          <w:ilvl w:val="0"/>
          <w:numId w:val="22"/>
        </w:numPr>
        <w:tabs>
          <w:tab w:val="left" w:pos="720"/>
          <w:tab w:val="clear" w:pos="695"/>
        </w:tabs>
        <w:spacing w:line="360" w:lineRule="auto"/>
        <w:ind w:left="720" w:hanging="540"/>
      </w:pPr>
      <w:r>
        <w:rPr>
          <w:rFonts w:hint="eastAsia" w:ascii="宋体" w:hAnsi="宋体"/>
          <w:b/>
          <w:bCs/>
          <w:sz w:val="28"/>
          <w:szCs w:val="28"/>
        </w:rPr>
        <w:t>响应</w:t>
      </w:r>
      <w:r>
        <w:rPr>
          <w:rFonts w:hint="eastAsia"/>
          <w:b/>
          <w:sz w:val="28"/>
          <w:szCs w:val="28"/>
        </w:rPr>
        <w:t>文件必须编制目录，且目录必须清晰、准确，与</w:t>
      </w:r>
      <w:r>
        <w:rPr>
          <w:rFonts w:hint="eastAsia" w:ascii="宋体" w:hAnsi="宋体"/>
          <w:b/>
          <w:bCs/>
          <w:sz w:val="28"/>
          <w:szCs w:val="28"/>
        </w:rPr>
        <w:t>响应</w:t>
      </w:r>
      <w:r>
        <w:rPr>
          <w:rFonts w:hint="eastAsia"/>
          <w:b/>
          <w:sz w:val="28"/>
          <w:szCs w:val="28"/>
        </w:rPr>
        <w:t>文件中的每页所加注的页码相对应。</w:t>
      </w:r>
    </w:p>
    <w:p>
      <w:pPr>
        <w:numPr>
          <w:ilvl w:val="0"/>
          <w:numId w:val="22"/>
        </w:numPr>
        <w:tabs>
          <w:tab w:val="left" w:pos="720"/>
          <w:tab w:val="clear" w:pos="695"/>
        </w:tabs>
        <w:spacing w:line="360" w:lineRule="auto"/>
        <w:ind w:left="720" w:hanging="540"/>
        <w:rPr>
          <w:b/>
          <w:sz w:val="28"/>
          <w:szCs w:val="28"/>
        </w:rPr>
      </w:pPr>
      <w:r>
        <w:rPr>
          <w:rFonts w:hint="eastAsia" w:ascii="宋体" w:hAnsi="宋体"/>
          <w:b/>
          <w:bCs/>
          <w:sz w:val="28"/>
          <w:szCs w:val="28"/>
        </w:rPr>
        <w:t>响应</w:t>
      </w:r>
      <w:r>
        <w:rPr>
          <w:b/>
          <w:sz w:val="28"/>
          <w:szCs w:val="28"/>
        </w:rPr>
        <w:t>文件</w:t>
      </w:r>
      <w:r>
        <w:rPr>
          <w:rFonts w:hint="eastAsia"/>
          <w:b/>
          <w:sz w:val="28"/>
          <w:szCs w:val="28"/>
          <w:lang w:val="en-GB"/>
        </w:rPr>
        <w:t>【正本】及所有【副本】</w:t>
      </w:r>
      <w:r>
        <w:rPr>
          <w:b/>
          <w:sz w:val="28"/>
          <w:szCs w:val="28"/>
        </w:rPr>
        <w:t>的封面及骑缝均须加盖</w:t>
      </w:r>
      <w:r>
        <w:rPr>
          <w:rFonts w:hint="eastAsia"/>
          <w:b/>
          <w:sz w:val="28"/>
          <w:szCs w:val="28"/>
        </w:rPr>
        <w:t>供应商</w:t>
      </w:r>
      <w:r>
        <w:rPr>
          <w:b/>
          <w:sz w:val="28"/>
          <w:szCs w:val="28"/>
        </w:rPr>
        <w:t>公章。</w:t>
      </w:r>
    </w:p>
    <w:p>
      <w:pPr>
        <w:spacing w:line="360" w:lineRule="auto"/>
        <w:ind w:left="180"/>
      </w:pPr>
    </w:p>
    <w:p>
      <w:pPr>
        <w:spacing w:line="360" w:lineRule="auto"/>
        <w:ind w:firstLine="600" w:firstLineChars="250"/>
        <w:rPr>
          <w:sz w:val="24"/>
        </w:rPr>
      </w:pPr>
    </w:p>
    <w:p>
      <w:pPr>
        <w:spacing w:line="360" w:lineRule="auto"/>
        <w:ind w:firstLine="600" w:firstLineChars="250"/>
        <w:rPr>
          <w:sz w:val="24"/>
        </w:rPr>
      </w:pPr>
    </w:p>
    <w:p>
      <w:pPr>
        <w:spacing w:line="360" w:lineRule="auto"/>
        <w:ind w:left="551" w:hanging="551" w:hangingChars="196"/>
        <w:rPr>
          <w:rFonts w:ascii="宋体" w:hAnsi="宋体"/>
          <w:b/>
          <w:bCs/>
          <w:sz w:val="28"/>
          <w:szCs w:val="28"/>
        </w:rPr>
      </w:pPr>
      <w:r>
        <w:rPr>
          <w:rFonts w:hint="eastAsia" w:ascii="宋体" w:hAnsi="宋体"/>
          <w:b/>
          <w:bCs/>
          <w:sz w:val="28"/>
          <w:szCs w:val="28"/>
        </w:rPr>
        <w:t>注：供应商应按本部分的格式内容进行排版和编制《响应文件》，如属于格式外的，或本部分未提供具体格式的，供应商可根据投标方案或内容，针对评审子项要求，自行拟定具体格式和设计排版。</w:t>
      </w:r>
    </w:p>
    <w:p>
      <w:pPr>
        <w:pageBreakBefore/>
        <w:spacing w:line="360" w:lineRule="auto"/>
        <w:jc w:val="center"/>
        <w:outlineLvl w:val="1"/>
        <w:rPr>
          <w:b/>
          <w:bCs/>
          <w:sz w:val="52"/>
        </w:rPr>
        <w:sectPr>
          <w:headerReference r:id="rId13" w:type="default"/>
          <w:footerReference r:id="rId14" w:type="default"/>
          <w:pgSz w:w="11906" w:h="16838"/>
          <w:pgMar w:top="1134" w:right="1134" w:bottom="1134" w:left="1587" w:header="567" w:footer="737" w:gutter="0"/>
          <w:pgNumType w:fmt="decimal"/>
          <w:cols w:space="720" w:num="1"/>
          <w:docGrid w:type="lines" w:linePitch="312" w:charSpace="0"/>
        </w:sectPr>
      </w:pPr>
    </w:p>
    <w:p>
      <w:pPr>
        <w:pageBreakBefore/>
        <w:spacing w:line="360" w:lineRule="auto"/>
        <w:jc w:val="center"/>
        <w:outlineLvl w:val="1"/>
        <w:rPr>
          <w:b/>
          <w:bCs/>
          <w:sz w:val="52"/>
        </w:rPr>
      </w:pPr>
      <w:bookmarkStart w:id="1292" w:name="_Toc11880"/>
      <w:r>
        <w:rPr>
          <w:b/>
          <w:bCs/>
          <w:sz w:val="52"/>
        </w:rPr>
        <w:fldChar w:fldCharType="begin"/>
      </w:r>
      <w:r>
        <w:rPr>
          <w:b/>
          <w:bCs/>
          <w:sz w:val="52"/>
        </w:rPr>
        <w:instrText xml:space="preserve">HYPERLINK  \l "_投标文件目录"</w:instrText>
      </w:r>
      <w:r>
        <w:rPr>
          <w:b/>
          <w:bCs/>
          <w:sz w:val="52"/>
        </w:rPr>
        <w:fldChar w:fldCharType="separate"/>
      </w:r>
      <w:bookmarkStart w:id="1293" w:name="_Toc113157429"/>
      <w:bookmarkStart w:id="1294" w:name="_Toc419106564"/>
      <w:bookmarkStart w:id="1295" w:name="_Toc159385073"/>
      <w:bookmarkStart w:id="1296" w:name="_Toc200168796"/>
      <w:bookmarkStart w:id="1297" w:name="_Toc240108116"/>
      <w:bookmarkStart w:id="1298" w:name="_Toc259803669"/>
      <w:r>
        <w:rPr>
          <w:rFonts w:hint="eastAsia"/>
          <w:b/>
          <w:bCs/>
          <w:sz w:val="52"/>
        </w:rPr>
        <w:t>第一</w:t>
      </w:r>
      <w:bookmarkStart w:id="1299" w:name="_Hlt112738827"/>
      <w:r>
        <w:rPr>
          <w:rFonts w:hint="eastAsia"/>
          <w:b/>
          <w:bCs/>
          <w:sz w:val="52"/>
        </w:rPr>
        <w:t xml:space="preserve">章 </w:t>
      </w:r>
      <w:bookmarkEnd w:id="1299"/>
      <w:bookmarkStart w:id="1300" w:name="_Hlt112738975"/>
      <w:r>
        <w:rPr>
          <w:rFonts w:hint="eastAsia"/>
          <w:b/>
          <w:bCs/>
          <w:sz w:val="52"/>
        </w:rPr>
        <w:t>资格性文</w:t>
      </w:r>
      <w:bookmarkEnd w:id="1300"/>
      <w:bookmarkStart w:id="1301" w:name="_Hlt112738761"/>
      <w:r>
        <w:rPr>
          <w:rFonts w:hint="eastAsia"/>
          <w:b/>
          <w:bCs/>
          <w:sz w:val="52"/>
        </w:rPr>
        <w:t>件</w:t>
      </w:r>
      <w:bookmarkEnd w:id="1293"/>
      <w:bookmarkEnd w:id="1294"/>
      <w:bookmarkEnd w:id="1295"/>
      <w:bookmarkEnd w:id="1296"/>
      <w:bookmarkEnd w:id="1297"/>
      <w:bookmarkEnd w:id="1298"/>
      <w:bookmarkEnd w:id="1301"/>
      <w:r>
        <w:rPr>
          <w:b/>
          <w:bCs/>
          <w:sz w:val="52"/>
        </w:rPr>
        <w:fldChar w:fldCharType="end"/>
      </w:r>
      <w:bookmarkEnd w:id="1277"/>
      <w:bookmarkEnd w:id="1278"/>
      <w:bookmarkEnd w:id="1292"/>
    </w:p>
    <w:p>
      <w:pPr>
        <w:jc w:val="center"/>
        <w:rPr>
          <w:rFonts w:ascii="宋体" w:hAnsi="宋体"/>
          <w:shd w:val="clear" w:color="auto" w:fill="FFFF99"/>
        </w:rPr>
        <w:sectPr>
          <w:pgSz w:w="11906" w:h="16838"/>
          <w:pgMar w:top="1134" w:right="1134" w:bottom="1134" w:left="1587" w:header="567" w:footer="737" w:gutter="0"/>
          <w:pgNumType w:fmt="decimal"/>
          <w:cols w:space="720" w:num="1"/>
          <w:docGrid w:type="lines" w:linePitch="312" w:charSpace="0"/>
        </w:sectPr>
      </w:pPr>
    </w:p>
    <w:p>
      <w:pPr>
        <w:pStyle w:val="4"/>
        <w:spacing w:afterLines="0"/>
        <w:rPr>
          <w:b w:val="0"/>
          <w:color w:val="auto"/>
          <w:sz w:val="48"/>
          <w:szCs w:val="48"/>
        </w:rPr>
      </w:pPr>
      <w:bookmarkStart w:id="1302" w:name="_资格性文件清单_1"/>
      <w:bookmarkEnd w:id="1302"/>
      <w:bookmarkStart w:id="1303" w:name="_Toc23031"/>
      <w:bookmarkStart w:id="1304" w:name="_Toc687"/>
      <w:bookmarkStart w:id="1305" w:name="_Toc26918"/>
      <w:bookmarkStart w:id="1306" w:name="_Toc17252"/>
      <w:bookmarkStart w:id="1307" w:name="_Toc325031944"/>
      <w:bookmarkStart w:id="1308" w:name="_Toc310519888"/>
      <w:bookmarkStart w:id="1309" w:name="_Toc16450"/>
      <w:bookmarkStart w:id="1310" w:name="_Toc31588"/>
      <w:bookmarkStart w:id="1311" w:name="_Toc1449"/>
      <w:bookmarkStart w:id="1312" w:name="_Toc419106565"/>
      <w:r>
        <w:rPr>
          <w:rFonts w:hint="eastAsia"/>
          <w:b w:val="0"/>
          <w:color w:val="auto"/>
          <w:sz w:val="48"/>
          <w:szCs w:val="48"/>
        </w:rPr>
        <w:t>资格性文件</w:t>
      </w:r>
      <w:bookmarkEnd w:id="1279"/>
      <w:bookmarkEnd w:id="1280"/>
      <w:r>
        <w:rPr>
          <w:rFonts w:hint="eastAsia"/>
          <w:b w:val="0"/>
          <w:color w:val="auto"/>
          <w:sz w:val="48"/>
          <w:szCs w:val="48"/>
        </w:rPr>
        <w:t>清单</w:t>
      </w:r>
      <w:bookmarkEnd w:id="1281"/>
      <w:bookmarkEnd w:id="1303"/>
      <w:bookmarkEnd w:id="1304"/>
      <w:bookmarkEnd w:id="1305"/>
      <w:bookmarkEnd w:id="1306"/>
      <w:bookmarkEnd w:id="1307"/>
      <w:bookmarkEnd w:id="1308"/>
      <w:bookmarkEnd w:id="1309"/>
      <w:bookmarkEnd w:id="1310"/>
      <w:bookmarkEnd w:id="1311"/>
      <w:bookmarkEnd w:id="1312"/>
    </w:p>
    <w:tbl>
      <w:tblPr>
        <w:tblStyle w:val="24"/>
        <w:tblpPr w:leftFromText="180" w:rightFromText="180" w:vertAnchor="text" w:horzAnchor="page" w:tblpX="1492" w:tblpY="598"/>
        <w:tblOverlap w:val="never"/>
        <w:tblW w:w="9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2235"/>
        <w:gridCol w:w="4486"/>
        <w:gridCol w:w="967"/>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76" w:hRule="atLeast"/>
        </w:trPr>
        <w:tc>
          <w:tcPr>
            <w:tcW w:w="449" w:type="dxa"/>
            <w:shd w:val="clear" w:color="auto" w:fill="F3F3F3"/>
            <w:vAlign w:val="center"/>
          </w:tcPr>
          <w:p>
            <w:pPr>
              <w:jc w:val="center"/>
              <w:rPr>
                <w:rFonts w:ascii="宋体" w:hAnsi="宋体" w:cs="宋体"/>
                <w:b/>
                <w:bCs/>
              </w:rPr>
            </w:pPr>
            <w:r>
              <w:rPr>
                <w:rFonts w:hint="eastAsia" w:ascii="宋体" w:hAnsi="宋体" w:cs="宋体"/>
                <w:b/>
                <w:bCs/>
              </w:rPr>
              <w:t>序号</w:t>
            </w:r>
          </w:p>
        </w:tc>
        <w:tc>
          <w:tcPr>
            <w:tcW w:w="2235" w:type="dxa"/>
            <w:tcBorders>
              <w:right w:val="single" w:color="auto" w:sz="4" w:space="0"/>
            </w:tcBorders>
            <w:shd w:val="clear" w:color="auto" w:fill="F3F3F3"/>
            <w:vAlign w:val="center"/>
          </w:tcPr>
          <w:p>
            <w:pPr>
              <w:pStyle w:val="38"/>
              <w:keepNext w:val="0"/>
              <w:adjustRightInd/>
              <w:spacing w:line="240" w:lineRule="auto"/>
              <w:textAlignment w:val="auto"/>
              <w:rPr>
                <w:rFonts w:ascii="宋体" w:hAnsi="宋体" w:cs="宋体"/>
                <w:b/>
                <w:bCs/>
                <w:snapToGrid/>
                <w:spacing w:val="0"/>
                <w:kern w:val="2"/>
                <w:sz w:val="21"/>
                <w:szCs w:val="21"/>
              </w:rPr>
            </w:pPr>
            <w:r>
              <w:rPr>
                <w:rFonts w:hint="eastAsia" w:ascii="宋体" w:hAnsi="宋体" w:cs="宋体"/>
                <w:b/>
                <w:bCs/>
                <w:snapToGrid/>
                <w:spacing w:val="0"/>
                <w:kern w:val="2"/>
                <w:sz w:val="21"/>
                <w:szCs w:val="21"/>
              </w:rPr>
              <w:t>文件名称</w:t>
            </w:r>
          </w:p>
        </w:tc>
        <w:tc>
          <w:tcPr>
            <w:tcW w:w="4486" w:type="dxa"/>
            <w:tcBorders>
              <w:left w:val="single" w:color="auto" w:sz="4" w:space="0"/>
            </w:tcBorders>
            <w:shd w:val="clear" w:color="auto" w:fill="F3F3F3"/>
            <w:vAlign w:val="center"/>
          </w:tcPr>
          <w:p>
            <w:pPr>
              <w:pStyle w:val="38"/>
              <w:keepNext w:val="0"/>
              <w:adjustRightInd/>
              <w:spacing w:line="240" w:lineRule="auto"/>
              <w:textAlignment w:val="auto"/>
              <w:rPr>
                <w:rFonts w:ascii="宋体" w:hAnsi="宋体" w:cs="宋体"/>
                <w:b/>
                <w:bCs/>
                <w:snapToGrid/>
                <w:spacing w:val="0"/>
                <w:kern w:val="2"/>
                <w:sz w:val="21"/>
                <w:szCs w:val="21"/>
              </w:rPr>
            </w:pPr>
            <w:r>
              <w:rPr>
                <w:rFonts w:hint="eastAsia" w:ascii="宋体" w:hAnsi="宋体" w:cs="宋体"/>
                <w:b/>
                <w:bCs/>
                <w:snapToGrid/>
                <w:spacing w:val="0"/>
                <w:kern w:val="2"/>
                <w:sz w:val="21"/>
                <w:szCs w:val="21"/>
              </w:rPr>
              <w:t>文件内容要求</w:t>
            </w:r>
          </w:p>
        </w:tc>
        <w:tc>
          <w:tcPr>
            <w:tcW w:w="967" w:type="dxa"/>
            <w:shd w:val="clear" w:color="auto" w:fill="F3F3F3"/>
            <w:vAlign w:val="center"/>
          </w:tcPr>
          <w:p>
            <w:pPr>
              <w:jc w:val="center"/>
              <w:rPr>
                <w:rFonts w:ascii="宋体" w:hAnsi="宋体" w:cs="宋体"/>
                <w:b/>
                <w:bCs/>
              </w:rPr>
            </w:pPr>
            <w:r>
              <w:rPr>
                <w:rFonts w:hint="eastAsia" w:ascii="宋体" w:hAnsi="宋体" w:cs="宋体"/>
                <w:b/>
                <w:bCs/>
              </w:rPr>
              <w:t>数量</w:t>
            </w:r>
          </w:p>
        </w:tc>
        <w:tc>
          <w:tcPr>
            <w:tcW w:w="1425" w:type="dxa"/>
            <w:shd w:val="clear" w:color="auto" w:fill="F3F3F3"/>
            <w:vAlign w:val="center"/>
          </w:tcPr>
          <w:p>
            <w:pPr>
              <w:jc w:val="center"/>
              <w:rPr>
                <w:rFonts w:ascii="宋体" w:hAnsi="宋体" w:cs="宋体"/>
                <w:b/>
                <w:bCs/>
              </w:rPr>
            </w:pPr>
            <w:r>
              <w:rPr>
                <w:rFonts w:hint="eastAsia" w:ascii="宋体" w:hAnsi="宋体" w:cs="宋体"/>
                <w:b/>
                <w:bCs/>
              </w:rPr>
              <w:t>文件属性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exact"/>
        </w:trPr>
        <w:tc>
          <w:tcPr>
            <w:tcW w:w="449" w:type="dxa"/>
            <w:vAlign w:val="center"/>
          </w:tcPr>
          <w:p>
            <w:pPr>
              <w:numPr>
                <w:ilvl w:val="0"/>
                <w:numId w:val="23"/>
              </w:numPr>
              <w:tabs>
                <w:tab w:val="left" w:pos="180"/>
              </w:tabs>
              <w:jc w:val="center"/>
              <w:rPr>
                <w:rFonts w:ascii="宋体" w:hAnsi="宋体" w:cs="宋体"/>
              </w:rPr>
            </w:pPr>
          </w:p>
        </w:tc>
        <w:tc>
          <w:tcPr>
            <w:tcW w:w="2235" w:type="dxa"/>
            <w:tcBorders>
              <w:right w:val="single" w:color="auto" w:sz="4" w:space="0"/>
            </w:tcBorders>
            <w:vAlign w:val="center"/>
          </w:tcPr>
          <w:p>
            <w:pPr>
              <w:jc w:val="center"/>
              <w:rPr>
                <w:rFonts w:ascii="宋体" w:hAnsi="宋体" w:cs="宋体"/>
              </w:rPr>
            </w:pPr>
            <w:r>
              <w:rPr>
                <w:rFonts w:hint="eastAsia" w:ascii="宋体" w:hAnsi="宋体" w:cs="宋体"/>
              </w:rPr>
              <w:t>响应承诺函</w:t>
            </w:r>
          </w:p>
        </w:tc>
        <w:tc>
          <w:tcPr>
            <w:tcW w:w="4486" w:type="dxa"/>
            <w:tcBorders>
              <w:left w:val="single" w:color="auto" w:sz="4" w:space="0"/>
            </w:tcBorders>
            <w:vAlign w:val="center"/>
          </w:tcPr>
          <w:p>
            <w:pPr>
              <w:jc w:val="center"/>
              <w:rPr>
                <w:rFonts w:ascii="宋体" w:hAnsi="宋体" w:cs="宋体"/>
              </w:rPr>
            </w:pPr>
            <w:r>
              <w:rPr>
                <w:rFonts w:hint="eastAsia" w:ascii="宋体" w:hAnsi="宋体" w:cs="宋体"/>
              </w:rPr>
              <w:t>按对应格式文件签署、盖章</w:t>
            </w:r>
          </w:p>
        </w:tc>
        <w:tc>
          <w:tcPr>
            <w:tcW w:w="967" w:type="dxa"/>
            <w:vAlign w:val="center"/>
          </w:tcPr>
          <w:p>
            <w:pPr>
              <w:jc w:val="center"/>
              <w:rPr>
                <w:rFonts w:ascii="宋体" w:hAnsi="宋体" w:cs="宋体"/>
              </w:rPr>
            </w:pPr>
            <w:r>
              <w:rPr>
                <w:rFonts w:hint="eastAsia" w:ascii="宋体" w:hAnsi="宋体" w:cs="宋体"/>
              </w:rPr>
              <w:t>1份</w:t>
            </w:r>
          </w:p>
        </w:tc>
        <w:tc>
          <w:tcPr>
            <w:tcW w:w="1425" w:type="dxa"/>
            <w:vAlign w:val="center"/>
          </w:tcPr>
          <w:p>
            <w:pPr>
              <w:jc w:val="center"/>
              <w:rPr>
                <w:rFonts w:ascii="宋体" w:hAnsi="宋体" w:cs="宋体"/>
              </w:rPr>
            </w:pPr>
            <w:r>
              <w:rPr>
                <w:rFonts w:hint="eastAsia" w:ascii="宋体" w:hAnsi="宋体" w:cs="宋体"/>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exact"/>
        </w:trPr>
        <w:tc>
          <w:tcPr>
            <w:tcW w:w="449" w:type="dxa"/>
            <w:vAlign w:val="center"/>
          </w:tcPr>
          <w:p>
            <w:pPr>
              <w:numPr>
                <w:ilvl w:val="0"/>
                <w:numId w:val="23"/>
              </w:numPr>
              <w:tabs>
                <w:tab w:val="left" w:pos="180"/>
              </w:tabs>
              <w:jc w:val="center"/>
              <w:rPr>
                <w:rFonts w:ascii="宋体" w:hAnsi="宋体" w:cs="宋体"/>
              </w:rPr>
            </w:pPr>
          </w:p>
        </w:tc>
        <w:tc>
          <w:tcPr>
            <w:tcW w:w="2235" w:type="dxa"/>
            <w:tcBorders>
              <w:right w:val="single" w:color="auto" w:sz="4" w:space="0"/>
            </w:tcBorders>
            <w:vAlign w:val="center"/>
          </w:tcPr>
          <w:p>
            <w:pPr>
              <w:jc w:val="center"/>
              <w:rPr>
                <w:rFonts w:ascii="宋体" w:hAnsi="宋体" w:cs="宋体"/>
              </w:rPr>
            </w:pPr>
            <w:r>
              <w:rPr>
                <w:rFonts w:hint="eastAsia" w:ascii="宋体" w:hAnsi="宋体" w:cs="宋体"/>
              </w:rPr>
              <w:t>法定代表人/负责人资格证明书</w:t>
            </w:r>
          </w:p>
        </w:tc>
        <w:tc>
          <w:tcPr>
            <w:tcW w:w="4486" w:type="dxa"/>
            <w:tcBorders>
              <w:left w:val="single" w:color="auto" w:sz="4" w:space="0"/>
            </w:tcBorders>
            <w:vAlign w:val="center"/>
          </w:tcPr>
          <w:p>
            <w:pPr>
              <w:jc w:val="center"/>
              <w:rPr>
                <w:rFonts w:ascii="宋体" w:hAnsi="宋体" w:cs="宋体"/>
              </w:rPr>
            </w:pPr>
            <w:r>
              <w:rPr>
                <w:rFonts w:hint="eastAsia" w:ascii="宋体" w:hAnsi="宋体" w:cs="宋体"/>
              </w:rPr>
              <w:t>按对应格式文件签署、盖章</w:t>
            </w:r>
          </w:p>
        </w:tc>
        <w:tc>
          <w:tcPr>
            <w:tcW w:w="967" w:type="dxa"/>
            <w:vAlign w:val="center"/>
          </w:tcPr>
          <w:p>
            <w:pPr>
              <w:jc w:val="center"/>
              <w:rPr>
                <w:rFonts w:ascii="宋体" w:hAnsi="宋体" w:cs="宋体"/>
              </w:rPr>
            </w:pPr>
            <w:r>
              <w:rPr>
                <w:rFonts w:hint="eastAsia" w:ascii="宋体" w:hAnsi="宋体" w:cs="宋体"/>
              </w:rPr>
              <w:t>1份</w:t>
            </w:r>
          </w:p>
        </w:tc>
        <w:tc>
          <w:tcPr>
            <w:tcW w:w="1425" w:type="dxa"/>
            <w:vAlign w:val="center"/>
          </w:tcPr>
          <w:p>
            <w:pPr>
              <w:jc w:val="center"/>
              <w:rPr>
                <w:rFonts w:ascii="宋体" w:hAnsi="宋体" w:cs="宋体"/>
              </w:rPr>
            </w:pPr>
            <w:r>
              <w:rPr>
                <w:rFonts w:hint="eastAsia" w:ascii="宋体" w:hAnsi="宋体" w:cs="宋体"/>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exact"/>
        </w:trPr>
        <w:tc>
          <w:tcPr>
            <w:tcW w:w="449" w:type="dxa"/>
            <w:vAlign w:val="center"/>
          </w:tcPr>
          <w:p>
            <w:pPr>
              <w:numPr>
                <w:ilvl w:val="0"/>
                <w:numId w:val="23"/>
              </w:numPr>
              <w:tabs>
                <w:tab w:val="left" w:pos="180"/>
              </w:tabs>
              <w:jc w:val="center"/>
              <w:rPr>
                <w:rFonts w:ascii="宋体" w:hAnsi="宋体" w:cs="宋体"/>
              </w:rPr>
            </w:pPr>
          </w:p>
        </w:tc>
        <w:tc>
          <w:tcPr>
            <w:tcW w:w="2235" w:type="dxa"/>
            <w:tcBorders>
              <w:right w:val="single" w:color="auto" w:sz="4" w:space="0"/>
            </w:tcBorders>
            <w:vAlign w:val="center"/>
          </w:tcPr>
          <w:p>
            <w:pPr>
              <w:jc w:val="center"/>
              <w:rPr>
                <w:rFonts w:ascii="宋体" w:hAnsi="宋体" w:cs="宋体"/>
              </w:rPr>
            </w:pPr>
            <w:r>
              <w:rPr>
                <w:rFonts w:hint="eastAsia" w:ascii="宋体" w:hAnsi="宋体" w:cs="宋体"/>
              </w:rPr>
              <w:t>法定代表人（负责人）授权书</w:t>
            </w:r>
          </w:p>
        </w:tc>
        <w:tc>
          <w:tcPr>
            <w:tcW w:w="4486" w:type="dxa"/>
            <w:tcBorders>
              <w:left w:val="single" w:color="auto" w:sz="4" w:space="0"/>
            </w:tcBorders>
            <w:vAlign w:val="center"/>
          </w:tcPr>
          <w:p>
            <w:pPr>
              <w:jc w:val="center"/>
              <w:rPr>
                <w:rFonts w:ascii="宋体" w:hAnsi="宋体" w:cs="宋体"/>
              </w:rPr>
            </w:pPr>
            <w:r>
              <w:rPr>
                <w:rFonts w:hint="eastAsia" w:ascii="宋体" w:hAnsi="宋体" w:cs="宋体"/>
              </w:rPr>
              <w:t>按对应格式文件签署、盖章</w:t>
            </w:r>
          </w:p>
        </w:tc>
        <w:tc>
          <w:tcPr>
            <w:tcW w:w="967" w:type="dxa"/>
            <w:vAlign w:val="center"/>
          </w:tcPr>
          <w:p>
            <w:pPr>
              <w:jc w:val="center"/>
              <w:rPr>
                <w:rFonts w:ascii="宋体" w:hAnsi="宋体" w:cs="宋体"/>
              </w:rPr>
            </w:pPr>
            <w:r>
              <w:rPr>
                <w:rFonts w:hint="eastAsia" w:ascii="宋体" w:hAnsi="宋体" w:cs="宋体"/>
              </w:rPr>
              <w:t>1份</w:t>
            </w:r>
          </w:p>
        </w:tc>
        <w:tc>
          <w:tcPr>
            <w:tcW w:w="1425" w:type="dxa"/>
            <w:vAlign w:val="center"/>
          </w:tcPr>
          <w:p>
            <w:pPr>
              <w:jc w:val="center"/>
              <w:rPr>
                <w:rFonts w:ascii="宋体" w:hAnsi="宋体" w:cs="宋体"/>
              </w:rPr>
            </w:pPr>
            <w:r>
              <w:rPr>
                <w:rFonts w:hint="eastAsia" w:ascii="宋体" w:hAnsi="宋体" w:cs="宋体"/>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5" w:hRule="exact"/>
        </w:trPr>
        <w:tc>
          <w:tcPr>
            <w:tcW w:w="449" w:type="dxa"/>
            <w:vAlign w:val="center"/>
          </w:tcPr>
          <w:p>
            <w:pPr>
              <w:numPr>
                <w:ilvl w:val="0"/>
                <w:numId w:val="23"/>
              </w:numPr>
              <w:tabs>
                <w:tab w:val="left" w:pos="180"/>
              </w:tabs>
              <w:jc w:val="center"/>
              <w:rPr>
                <w:rFonts w:ascii="宋体" w:hAnsi="宋体" w:cs="宋体"/>
              </w:rPr>
            </w:pPr>
          </w:p>
        </w:tc>
        <w:tc>
          <w:tcPr>
            <w:tcW w:w="2235" w:type="dxa"/>
            <w:tcBorders>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营业执照副本等证明文件</w:t>
            </w:r>
          </w:p>
        </w:tc>
        <w:tc>
          <w:tcPr>
            <w:tcW w:w="4486" w:type="dxa"/>
            <w:tcBorders>
              <w:left w:val="single" w:color="auto" w:sz="4" w:space="0"/>
            </w:tcBorders>
            <w:vAlign w:val="center"/>
          </w:tcPr>
          <w:p>
            <w:pPr>
              <w:jc w:val="center"/>
              <w:rPr>
                <w:rFonts w:ascii="宋体" w:hAnsi="宋体" w:cs="宋体"/>
              </w:rPr>
            </w:pPr>
            <w:r>
              <w:rPr>
                <w:rFonts w:hint="eastAsia" w:ascii="宋体" w:hAnsi="宋体" w:cs="宋体"/>
                <w:lang w:val="en-US" w:eastAsia="zh-CN"/>
              </w:rPr>
              <w:t>投标（响应）时提交有效的营业执照或事业法人登记证等相关证明副本复印件。分支机构投标的，须提供总公司和分公司营业执照副本复印件，总公司出具给分支机构的授权书，分支机构可沿用总公司的各项资质材料证明</w:t>
            </w:r>
          </w:p>
        </w:tc>
        <w:tc>
          <w:tcPr>
            <w:tcW w:w="967" w:type="dxa"/>
            <w:vAlign w:val="center"/>
          </w:tcPr>
          <w:p>
            <w:pPr>
              <w:jc w:val="center"/>
              <w:rPr>
                <w:rFonts w:ascii="宋体" w:hAnsi="宋体" w:cs="宋体"/>
              </w:rPr>
            </w:pPr>
            <w:r>
              <w:rPr>
                <w:rFonts w:hint="eastAsia" w:ascii="宋体" w:hAnsi="宋体" w:cs="宋体"/>
              </w:rPr>
              <w:t>1份</w:t>
            </w:r>
          </w:p>
        </w:tc>
        <w:tc>
          <w:tcPr>
            <w:tcW w:w="1425" w:type="dxa"/>
            <w:vAlign w:val="center"/>
          </w:tcPr>
          <w:p>
            <w:pPr>
              <w:jc w:val="center"/>
              <w:rPr>
                <w:rFonts w:ascii="宋体" w:hAnsi="宋体" w:cs="宋体"/>
              </w:rPr>
            </w:pPr>
            <w:r>
              <w:rPr>
                <w:rFonts w:hint="eastAsia" w:ascii="宋体" w:hAnsi="宋体" w:cs="宋体"/>
              </w:rPr>
              <w:t>复印件</w:t>
            </w:r>
          </w:p>
          <w:p>
            <w:pPr>
              <w:jc w:val="center"/>
              <w:rPr>
                <w:rFonts w:ascii="宋体" w:hAnsi="宋体" w:cs="宋体"/>
              </w:rPr>
            </w:pPr>
            <w:r>
              <w:rPr>
                <w:rFonts w:hint="eastAsia" w:ascii="宋体" w:hAnsi="宋体" w:cs="宋体"/>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exact"/>
        </w:trPr>
        <w:tc>
          <w:tcPr>
            <w:tcW w:w="449" w:type="dxa"/>
            <w:vAlign w:val="center"/>
          </w:tcPr>
          <w:p>
            <w:pPr>
              <w:numPr>
                <w:ilvl w:val="0"/>
                <w:numId w:val="23"/>
              </w:numPr>
              <w:tabs>
                <w:tab w:val="left" w:pos="180"/>
              </w:tabs>
              <w:jc w:val="center"/>
              <w:rPr>
                <w:rFonts w:ascii="宋体" w:hAnsi="宋体" w:cs="宋体"/>
              </w:rPr>
            </w:pPr>
          </w:p>
        </w:tc>
        <w:tc>
          <w:tcPr>
            <w:tcW w:w="2235" w:type="dxa"/>
            <w:tcBorders>
              <w:right w:val="single" w:color="auto" w:sz="4" w:space="0"/>
            </w:tcBorders>
            <w:vAlign w:val="center"/>
          </w:tcPr>
          <w:p>
            <w:pPr>
              <w:jc w:val="center"/>
              <w:rPr>
                <w:rFonts w:ascii="宋体" w:hAnsi="宋体" w:cs="宋体"/>
              </w:rPr>
            </w:pPr>
            <w:r>
              <w:rPr>
                <w:rFonts w:hint="eastAsia" w:ascii="宋体" w:hAnsi="宋体" w:cs="宋体"/>
              </w:rPr>
              <w:t>《守法经营声明书》</w:t>
            </w:r>
          </w:p>
        </w:tc>
        <w:tc>
          <w:tcPr>
            <w:tcW w:w="4486" w:type="dxa"/>
            <w:tcBorders>
              <w:left w:val="single" w:color="auto" w:sz="4" w:space="0"/>
            </w:tcBorders>
            <w:vAlign w:val="center"/>
          </w:tcPr>
          <w:p>
            <w:pPr>
              <w:jc w:val="center"/>
              <w:rPr>
                <w:rFonts w:ascii="宋体" w:hAnsi="宋体" w:cs="宋体"/>
              </w:rPr>
            </w:pPr>
            <w:r>
              <w:rPr>
                <w:rFonts w:hint="eastAsia" w:ascii="宋体" w:hAnsi="宋体" w:cs="宋体"/>
              </w:rPr>
              <w:t>按对应格式文件签署、盖章</w:t>
            </w:r>
          </w:p>
        </w:tc>
        <w:tc>
          <w:tcPr>
            <w:tcW w:w="967" w:type="dxa"/>
            <w:vAlign w:val="center"/>
          </w:tcPr>
          <w:p>
            <w:pPr>
              <w:jc w:val="center"/>
              <w:rPr>
                <w:rFonts w:ascii="宋体" w:hAnsi="宋体" w:cs="宋体"/>
              </w:rPr>
            </w:pPr>
            <w:r>
              <w:rPr>
                <w:rFonts w:hint="eastAsia" w:ascii="宋体" w:hAnsi="宋体" w:cs="宋体"/>
              </w:rPr>
              <w:t>1份</w:t>
            </w:r>
          </w:p>
        </w:tc>
        <w:tc>
          <w:tcPr>
            <w:tcW w:w="1425" w:type="dxa"/>
            <w:vAlign w:val="center"/>
          </w:tcPr>
          <w:p>
            <w:pPr>
              <w:jc w:val="center"/>
              <w:rPr>
                <w:rFonts w:ascii="宋体" w:hAnsi="宋体" w:cs="宋体"/>
                <w:szCs w:val="21"/>
              </w:rPr>
            </w:pPr>
            <w:r>
              <w:rPr>
                <w:rFonts w:hint="eastAsia" w:ascii="宋体" w:hAnsi="宋体" w:cs="宋体"/>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exact"/>
        </w:trPr>
        <w:tc>
          <w:tcPr>
            <w:tcW w:w="449" w:type="dxa"/>
            <w:vAlign w:val="center"/>
          </w:tcPr>
          <w:p>
            <w:pPr>
              <w:numPr>
                <w:ilvl w:val="0"/>
                <w:numId w:val="23"/>
              </w:numPr>
              <w:tabs>
                <w:tab w:val="left" w:pos="180"/>
              </w:tabs>
              <w:jc w:val="center"/>
              <w:rPr>
                <w:rFonts w:ascii="宋体" w:hAnsi="宋体" w:cs="宋体"/>
              </w:rPr>
            </w:pPr>
          </w:p>
        </w:tc>
        <w:tc>
          <w:tcPr>
            <w:tcW w:w="2235" w:type="dxa"/>
            <w:tcBorders>
              <w:right w:val="single" w:color="auto" w:sz="4" w:space="0"/>
            </w:tcBorders>
            <w:vAlign w:val="center"/>
          </w:tcPr>
          <w:p>
            <w:pPr>
              <w:jc w:val="center"/>
              <w:rPr>
                <w:rFonts w:hint="eastAsia" w:ascii="宋体" w:hAnsi="宋体" w:eastAsia="宋体" w:cs="宋体"/>
                <w:kern w:val="2"/>
                <w:sz w:val="21"/>
                <w:szCs w:val="24"/>
                <w:lang w:val="en-US" w:eastAsia="zh-CN" w:bidi="ar-SA"/>
              </w:rPr>
            </w:pPr>
            <w:r>
              <w:rPr>
                <w:rFonts w:hint="eastAsia" w:ascii="宋体" w:hAnsi="宋体" w:cs="宋体"/>
              </w:rPr>
              <w:t>《</w:t>
            </w:r>
            <w:r>
              <w:rPr>
                <w:rFonts w:hint="eastAsia" w:ascii="宋体" w:hAnsi="宋体" w:cs="宋体"/>
                <w:lang w:val="en-US" w:eastAsia="zh-CN"/>
              </w:rPr>
              <w:t>中小企业声明函</w:t>
            </w:r>
            <w:r>
              <w:rPr>
                <w:rFonts w:hint="eastAsia" w:ascii="宋体" w:hAnsi="宋体" w:cs="宋体"/>
              </w:rPr>
              <w:t>》</w:t>
            </w:r>
            <w:r>
              <w:rPr>
                <w:rFonts w:hint="eastAsia" w:ascii="宋体" w:hAnsi="宋体" w:cs="宋体"/>
                <w:lang w:eastAsia="zh-CN"/>
              </w:rPr>
              <w:t>等</w:t>
            </w:r>
          </w:p>
        </w:tc>
        <w:tc>
          <w:tcPr>
            <w:tcW w:w="4486" w:type="dxa"/>
            <w:tcBorders>
              <w:lef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 w:val="21"/>
                <w:szCs w:val="21"/>
              </w:rPr>
              <w:t>按对应格式文件签署、盖章</w:t>
            </w:r>
          </w:p>
        </w:tc>
        <w:tc>
          <w:tcPr>
            <w:tcW w:w="967" w:type="dxa"/>
            <w:vAlign w:val="center"/>
          </w:tcPr>
          <w:p>
            <w:pPr>
              <w:jc w:val="center"/>
              <w:rPr>
                <w:rFonts w:hint="eastAsia" w:ascii="宋体" w:hAnsi="宋体" w:eastAsia="宋体" w:cs="宋体"/>
                <w:kern w:val="2"/>
                <w:sz w:val="21"/>
                <w:szCs w:val="24"/>
                <w:lang w:val="en-US" w:eastAsia="zh-CN" w:bidi="ar-SA"/>
              </w:rPr>
            </w:pPr>
            <w:r>
              <w:rPr>
                <w:rFonts w:hint="eastAsia" w:ascii="宋体" w:hAnsi="宋体" w:cs="宋体"/>
              </w:rPr>
              <w:t>1份</w:t>
            </w:r>
          </w:p>
        </w:tc>
        <w:tc>
          <w:tcPr>
            <w:tcW w:w="1425" w:type="dxa"/>
            <w:vAlign w:val="center"/>
          </w:tcPr>
          <w:p>
            <w:pPr>
              <w:jc w:val="center"/>
              <w:rPr>
                <w:rFonts w:hint="eastAsia" w:ascii="宋体" w:hAnsi="宋体" w:eastAsia="宋体" w:cs="宋体"/>
                <w:kern w:val="2"/>
                <w:sz w:val="21"/>
                <w:szCs w:val="24"/>
                <w:lang w:val="en-US" w:eastAsia="zh-CN" w:bidi="ar-SA"/>
              </w:rPr>
            </w:pPr>
            <w:r>
              <w:rPr>
                <w:rFonts w:hint="eastAsia" w:ascii="宋体" w:hAnsi="宋体" w:cs="宋体"/>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6" w:hRule="exact"/>
        </w:trPr>
        <w:tc>
          <w:tcPr>
            <w:tcW w:w="449" w:type="dxa"/>
            <w:vAlign w:val="center"/>
          </w:tcPr>
          <w:p>
            <w:pPr>
              <w:numPr>
                <w:ilvl w:val="0"/>
                <w:numId w:val="23"/>
              </w:numPr>
              <w:tabs>
                <w:tab w:val="left" w:pos="180"/>
              </w:tabs>
              <w:jc w:val="center"/>
              <w:rPr>
                <w:rFonts w:ascii="宋体" w:hAnsi="宋体" w:cs="宋体"/>
              </w:rPr>
            </w:pPr>
          </w:p>
        </w:tc>
        <w:tc>
          <w:tcPr>
            <w:tcW w:w="2235" w:type="dxa"/>
            <w:tcBorders>
              <w:right w:val="single" w:color="auto" w:sz="4"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rPr>
              <w:t>信用</w:t>
            </w:r>
            <w:r>
              <w:rPr>
                <w:rFonts w:hint="eastAsia" w:ascii="宋体" w:hAnsi="宋体" w:cs="宋体"/>
                <w:color w:val="000000"/>
                <w:szCs w:val="21"/>
                <w:lang w:val="en-US" w:eastAsia="zh-CN"/>
              </w:rPr>
              <w:t>查询</w:t>
            </w:r>
          </w:p>
        </w:tc>
        <w:tc>
          <w:tcPr>
            <w:tcW w:w="4486" w:type="dxa"/>
            <w:tcBorders>
              <w:left w:val="single" w:color="auto" w:sz="4" w:space="0"/>
            </w:tcBorders>
            <w:vAlign w:val="center"/>
          </w:tcPr>
          <w:p>
            <w:pPr>
              <w:jc w:val="left"/>
              <w:rPr>
                <w:rFonts w:ascii="宋体" w:hAnsi="宋体" w:cs="宋体"/>
                <w:sz w:val="21"/>
                <w:szCs w:val="21"/>
              </w:rPr>
            </w:pPr>
            <w:r>
              <w:rPr>
                <w:rFonts w:hint="eastAsia" w:ascii="宋体" w:hAnsi="宋体" w:cs="宋体"/>
                <w:sz w:val="21"/>
                <w:szCs w:val="21"/>
                <w:lang w:eastAsia="zh-CN"/>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w:t>
            </w:r>
            <w:r>
              <w:rPr>
                <w:rFonts w:hint="eastAsia" w:ascii="宋体" w:hAnsi="宋体" w:cs="宋体"/>
                <w:sz w:val="21"/>
                <w:szCs w:val="21"/>
                <w:lang w:val="en-US" w:eastAsia="zh-CN"/>
              </w:rPr>
              <w:t>【以采购代理机构于投标（响应）截止时间当天在“信用中国”网站（www.creditchina.gov.cn）及中国政府采购网（http://www.ccgp.gov.cn/）查询结果为准，如相关失信记录已失效，供应商需提供相关证明资料。】</w:t>
            </w:r>
          </w:p>
        </w:tc>
        <w:tc>
          <w:tcPr>
            <w:tcW w:w="967" w:type="dxa"/>
            <w:vAlign w:val="center"/>
          </w:tcPr>
          <w:p>
            <w:pPr>
              <w:jc w:val="center"/>
              <w:rPr>
                <w:rFonts w:ascii="宋体" w:hAnsi="宋体" w:cs="宋体"/>
              </w:rPr>
            </w:pPr>
            <w:r>
              <w:rPr>
                <w:rFonts w:hint="eastAsia" w:ascii="宋体" w:hAnsi="宋体" w:cs="宋体"/>
              </w:rPr>
              <w:t>1份</w:t>
            </w:r>
          </w:p>
        </w:tc>
        <w:tc>
          <w:tcPr>
            <w:tcW w:w="1425" w:type="dxa"/>
            <w:vAlign w:val="center"/>
          </w:tcPr>
          <w:p>
            <w:pPr>
              <w:jc w:val="center"/>
              <w:rPr>
                <w:rFonts w:ascii="宋体" w:hAnsi="宋体" w:cs="宋体"/>
              </w:rPr>
            </w:pPr>
            <w:r>
              <w:rPr>
                <w:rFonts w:hint="eastAsia" w:ascii="宋体" w:hAnsi="宋体" w:cs="宋体"/>
                <w:lang w:eastAsia="zh-CN"/>
              </w:rPr>
              <w:t>打印件</w:t>
            </w:r>
            <w:r>
              <w:rPr>
                <w:rFonts w:hint="eastAsia" w:ascii="宋体" w:hAnsi="宋体" w:cs="宋体"/>
              </w:rPr>
              <w:t xml:space="preserve">     （加盖公章）</w:t>
            </w:r>
          </w:p>
        </w:tc>
      </w:tr>
    </w:tbl>
    <w:p>
      <w:pPr>
        <w:pStyle w:val="39"/>
        <w:spacing w:line="360" w:lineRule="auto"/>
        <w:rPr>
          <w:b/>
          <w:bCs/>
          <w:color w:val="auto"/>
        </w:rPr>
      </w:pPr>
    </w:p>
    <w:p>
      <w:pPr>
        <w:pStyle w:val="39"/>
        <w:spacing w:line="360" w:lineRule="auto"/>
        <w:ind w:left="420" w:hanging="420"/>
        <w:jc w:val="center"/>
        <w:rPr>
          <w:b/>
          <w:bCs/>
          <w:color w:val="auto"/>
          <w:sz w:val="30"/>
        </w:rPr>
      </w:pPr>
      <w:r>
        <w:rPr>
          <w:rFonts w:hint="eastAsia"/>
          <w:b/>
          <w:bCs/>
          <w:color w:val="auto"/>
          <w:sz w:val="30"/>
        </w:rPr>
        <w:t>特别提示与要求！</w:t>
      </w:r>
    </w:p>
    <w:p>
      <w:pPr>
        <w:pStyle w:val="39"/>
        <w:spacing w:line="360" w:lineRule="exact"/>
        <w:ind w:firstLine="400" w:firstLineChars="200"/>
        <w:rPr>
          <w:color w:val="auto"/>
        </w:rPr>
      </w:pPr>
      <w:r>
        <w:rPr>
          <w:rFonts w:hint="eastAsia"/>
          <w:color w:val="auto"/>
        </w:rPr>
        <w:t>以上材料将作为供应商资格性审查的重要内容之一，供应商必须严格按照其内容及序列要求在响应文件中对应如实提供，对缺漏和不符合项将会直接导致无效响应！</w:t>
      </w:r>
    </w:p>
    <w:p>
      <w:pPr>
        <w:pStyle w:val="4"/>
        <w:pageBreakBefore/>
        <w:numPr>
          <w:ilvl w:val="0"/>
          <w:numId w:val="23"/>
        </w:numPr>
        <w:spacing w:afterLines="0"/>
        <w:rPr>
          <w:rFonts w:ascii="Times New Roman" w:hAnsi="Times New Roman"/>
          <w:color w:val="auto"/>
          <w:szCs w:val="21"/>
        </w:rPr>
        <w:sectPr>
          <w:pgSz w:w="11906" w:h="16838"/>
          <w:pgMar w:top="1134" w:right="1134" w:bottom="1134" w:left="1587" w:header="567" w:footer="737" w:gutter="0"/>
          <w:pgNumType w:fmt="decimal"/>
          <w:cols w:space="720" w:num="1"/>
          <w:docGrid w:type="lines" w:linePitch="312" w:charSpace="0"/>
        </w:sectPr>
      </w:pPr>
      <w:bookmarkStart w:id="1313" w:name="_法定代表人授权书_1"/>
      <w:bookmarkEnd w:id="1313"/>
      <w:bookmarkStart w:id="1314" w:name="_Toc119321151"/>
      <w:bookmarkStart w:id="1315" w:name="_Toc136662940"/>
      <w:bookmarkStart w:id="1316" w:name="_Toc136682916"/>
      <w:bookmarkStart w:id="1317" w:name="_Toc159385075"/>
    </w:p>
    <w:p>
      <w:pPr>
        <w:pStyle w:val="4"/>
        <w:pageBreakBefore/>
        <w:numPr>
          <w:ilvl w:val="0"/>
          <w:numId w:val="24"/>
        </w:numPr>
        <w:spacing w:afterLines="0"/>
        <w:rPr>
          <w:rFonts w:cs="宋体"/>
          <w:color w:val="auto"/>
          <w:sz w:val="36"/>
          <w:szCs w:val="36"/>
        </w:rPr>
      </w:pPr>
      <w:bookmarkStart w:id="1318" w:name="_投标承诺函_1"/>
      <w:bookmarkEnd w:id="1318"/>
      <w:bookmarkStart w:id="1319" w:name="_Toc30176"/>
      <w:bookmarkStart w:id="1320" w:name="_Toc13037"/>
      <w:bookmarkStart w:id="1321" w:name="_Toc25584"/>
      <w:bookmarkStart w:id="1322" w:name="_Toc9168"/>
      <w:bookmarkStart w:id="1323" w:name="_Toc419106566"/>
      <w:bookmarkStart w:id="1324" w:name="_Toc14840"/>
      <w:bookmarkStart w:id="1325" w:name="_Toc15812"/>
      <w:bookmarkStart w:id="1326" w:name="_Toc30759"/>
      <w:r>
        <w:rPr>
          <w:rFonts w:hint="eastAsia" w:cs="宋体"/>
          <w:color w:val="auto"/>
          <w:sz w:val="36"/>
          <w:szCs w:val="36"/>
        </w:rPr>
        <w:t>响应承诺函</w:t>
      </w:r>
      <w:bookmarkEnd w:id="1282"/>
      <w:bookmarkEnd w:id="1283"/>
      <w:bookmarkEnd w:id="1314"/>
      <w:bookmarkEnd w:id="1315"/>
      <w:bookmarkEnd w:id="1316"/>
      <w:bookmarkEnd w:id="1317"/>
      <w:bookmarkEnd w:id="1319"/>
      <w:bookmarkEnd w:id="1320"/>
      <w:bookmarkEnd w:id="1321"/>
      <w:bookmarkEnd w:id="1322"/>
      <w:bookmarkEnd w:id="1323"/>
      <w:bookmarkEnd w:id="1324"/>
      <w:bookmarkEnd w:id="1325"/>
      <w:bookmarkEnd w:id="1326"/>
    </w:p>
    <w:p>
      <w:pPr>
        <w:spacing w:line="480" w:lineRule="auto"/>
        <w:ind w:left="420" w:hanging="420" w:hangingChars="150"/>
        <w:rPr>
          <w:rFonts w:hint="eastAsia" w:ascii="黑体" w:hAnsi="宋体" w:eastAsia="黑体" w:cs="Times New Roman"/>
          <w:bCs/>
          <w:sz w:val="28"/>
          <w:szCs w:val="28"/>
          <w:lang w:eastAsia="zh-CN"/>
        </w:rPr>
      </w:pPr>
      <w:r>
        <w:rPr>
          <w:rFonts w:hint="eastAsia" w:ascii="黑体" w:hAnsi="宋体" w:eastAsia="黑体" w:cs="Times New Roman"/>
          <w:bCs/>
          <w:sz w:val="28"/>
          <w:szCs w:val="28"/>
          <w:lang w:eastAsia="zh-CN"/>
        </w:rPr>
        <w:t>致 佛山市公安局/广东远东招标代理有限公司：</w:t>
      </w:r>
    </w:p>
    <w:p>
      <w:pPr>
        <w:spacing w:line="360" w:lineRule="auto"/>
        <w:ind w:firstLine="420"/>
        <w:rPr>
          <w:rFonts w:ascii="宋体" w:hAnsi="宋体" w:cs="宋体"/>
          <w:sz w:val="24"/>
        </w:rPr>
      </w:pPr>
      <w:r>
        <w:rPr>
          <w:rFonts w:hint="eastAsia" w:ascii="宋体" w:hAnsi="宋体" w:cs="宋体"/>
          <w:sz w:val="24"/>
        </w:rPr>
        <w:t>我方根据《竞争性磋商文件》的要求，通过委任的全权代表，向贵方递交密封册装的全套响应文件参与下列项目的响应，现为我方的一切响应行为作</w:t>
      </w:r>
      <w:r>
        <w:rPr>
          <w:rFonts w:hint="eastAsia" w:ascii="宋体" w:hAnsi="宋体" w:cs="宋体"/>
          <w:bCs/>
          <w:sz w:val="24"/>
        </w:rPr>
        <w:t>郑重承诺及声明如下：</w:t>
      </w:r>
    </w:p>
    <w:p>
      <w:pPr>
        <w:numPr>
          <w:ilvl w:val="0"/>
          <w:numId w:val="25"/>
        </w:numPr>
        <w:spacing w:line="360" w:lineRule="auto"/>
        <w:rPr>
          <w:rFonts w:ascii="宋体" w:hAnsi="宋体" w:cs="宋体"/>
          <w:sz w:val="24"/>
        </w:rPr>
      </w:pPr>
      <w:r>
        <w:rPr>
          <w:rFonts w:hint="eastAsia" w:ascii="宋体" w:hAnsi="宋体" w:cs="宋体"/>
          <w:sz w:val="24"/>
        </w:rPr>
        <w:t>项目名称：</w:t>
      </w:r>
      <w:r>
        <w:rPr>
          <w:rFonts w:hint="eastAsia" w:ascii="宋体" w:hAnsi="宋体" w:cs="宋体"/>
          <w:sz w:val="24"/>
          <w:u w:val="single"/>
          <w:lang w:eastAsia="zh-CN"/>
        </w:rPr>
        <w:t>佛山市公安局铺设电缆</w:t>
      </w:r>
      <w:r>
        <w:rPr>
          <w:rFonts w:hint="eastAsia" w:ascii="宋体" w:hAnsi="宋体" w:cs="宋体"/>
        </w:rPr>
        <w:fldChar w:fldCharType="begin"/>
      </w:r>
      <w:r>
        <w:rPr>
          <w:rFonts w:hint="eastAsia" w:ascii="宋体" w:hAnsi="宋体" w:cs="宋体"/>
        </w:rPr>
        <w:instrText xml:space="preserve"> DOCVARIABLE  项目名称  \* MERGEFORMAT </w:instrText>
      </w:r>
      <w:r>
        <w:rPr>
          <w:rFonts w:hint="eastAsia" w:ascii="宋体" w:hAnsi="宋体" w:cs="宋体"/>
        </w:rPr>
        <w:fldChar w:fldCharType="end"/>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sz w:val="24"/>
          <w:lang w:eastAsia="zh-CN"/>
        </w:rPr>
        <w:t>项目编号：</w:t>
      </w:r>
      <w:r>
        <w:rPr>
          <w:rFonts w:hint="eastAsia" w:ascii="宋体" w:hAnsi="宋体" w:cs="宋体"/>
          <w:sz w:val="24"/>
          <w:u w:val="single"/>
          <w:lang w:val="en-US" w:eastAsia="zh-CN"/>
        </w:rPr>
        <w:t xml:space="preserve"> </w:t>
      </w:r>
      <w:r>
        <w:rPr>
          <w:rFonts w:hint="eastAsia" w:ascii="宋体" w:hAnsi="宋体" w:cs="宋体"/>
          <w:sz w:val="24"/>
          <w:u w:val="single"/>
          <w:lang w:eastAsia="zh-CN"/>
        </w:rPr>
        <w:t>fsganb202404005</w:t>
      </w:r>
      <w:r>
        <w:rPr>
          <w:rFonts w:hint="eastAsia" w:ascii="宋体" w:hAnsi="宋体" w:cs="宋体"/>
          <w:sz w:val="24"/>
          <w:u w:val="single"/>
          <w:lang w:val="en-US" w:eastAsia="zh-CN"/>
        </w:rPr>
        <w:t xml:space="preserve"> </w:t>
      </w:r>
      <w:r>
        <w:rPr>
          <w:rFonts w:hint="eastAsia" w:ascii="宋体" w:hAnsi="宋体" w:cs="宋体"/>
          <w:sz w:val="24"/>
        </w:rPr>
        <w:t>；</w:t>
      </w:r>
      <w:r>
        <w:rPr>
          <w:rFonts w:hint="eastAsia" w:ascii="宋体" w:hAnsi="宋体" w:cs="宋体"/>
        </w:rPr>
        <w:fldChar w:fldCharType="begin"/>
      </w:r>
      <w:r>
        <w:rPr>
          <w:rFonts w:hint="eastAsia" w:ascii="宋体" w:hAnsi="宋体" w:cs="宋体"/>
        </w:rPr>
        <w:instrText xml:space="preserve"> DOCVARIABLE  采购编号  \* MERGEFORMAT </w:instrText>
      </w:r>
      <w:r>
        <w:rPr>
          <w:rFonts w:hint="eastAsia" w:ascii="宋体" w:hAnsi="宋体" w:cs="宋体"/>
        </w:rPr>
        <w:fldChar w:fldCharType="end"/>
      </w:r>
    </w:p>
    <w:p>
      <w:pPr>
        <w:numPr>
          <w:ilvl w:val="0"/>
          <w:numId w:val="25"/>
        </w:numPr>
        <w:tabs>
          <w:tab w:val="left" w:pos="9000"/>
        </w:tabs>
        <w:spacing w:line="360" w:lineRule="auto"/>
        <w:rPr>
          <w:rFonts w:ascii="宋体" w:hAnsi="宋体" w:cs="宋体"/>
          <w:sz w:val="24"/>
        </w:rPr>
      </w:pPr>
      <w:r>
        <w:rPr>
          <w:rFonts w:hint="eastAsia" w:ascii="宋体" w:hAnsi="宋体" w:cs="宋体"/>
          <w:sz w:val="24"/>
        </w:rPr>
        <w:t>我方已认真阅读了全部采购文件及其相关文件，完全清楚理解其内容要求及规约，对文件的合理性、公正性和程序安排均没有任何异议、质疑和误解之处。</w:t>
      </w:r>
    </w:p>
    <w:p>
      <w:pPr>
        <w:numPr>
          <w:ilvl w:val="0"/>
          <w:numId w:val="25"/>
        </w:numPr>
        <w:spacing w:line="360" w:lineRule="auto"/>
        <w:rPr>
          <w:rFonts w:ascii="宋体" w:hAnsi="宋体" w:cs="宋体"/>
          <w:sz w:val="24"/>
        </w:rPr>
      </w:pPr>
      <w:r>
        <w:rPr>
          <w:rFonts w:hint="eastAsia" w:ascii="宋体" w:hAnsi="宋体" w:cs="宋体"/>
          <w:sz w:val="24"/>
        </w:rPr>
        <w:t>我方所提供的一切文件均已经过认真、严格的审核，其内容已充分表达了我方的真实意愿，没有任何遗漏、虚假、侵权之处，若出现违背诚实信用和商业道德之行为，愿独自承担相应的法律责任。</w:t>
      </w:r>
    </w:p>
    <w:p>
      <w:pPr>
        <w:numPr>
          <w:ilvl w:val="0"/>
          <w:numId w:val="25"/>
        </w:numPr>
        <w:spacing w:line="360" w:lineRule="auto"/>
        <w:rPr>
          <w:rFonts w:ascii="宋体" w:hAnsi="宋体" w:cs="宋体"/>
          <w:sz w:val="24"/>
        </w:rPr>
      </w:pPr>
      <w:r>
        <w:rPr>
          <w:rFonts w:hint="eastAsia" w:ascii="宋体" w:hAnsi="宋体" w:cs="宋体"/>
          <w:sz w:val="24"/>
        </w:rPr>
        <w:t>我方没有为本项目提供整体设计、规范编制或者项目管理、监理、检测等服务。</w:t>
      </w:r>
    </w:p>
    <w:p>
      <w:pPr>
        <w:numPr>
          <w:ilvl w:val="0"/>
          <w:numId w:val="25"/>
        </w:numPr>
        <w:spacing w:line="360" w:lineRule="auto"/>
        <w:rPr>
          <w:rFonts w:ascii="宋体" w:hAnsi="宋体" w:cs="宋体"/>
          <w:sz w:val="24"/>
        </w:rPr>
      </w:pPr>
      <w:r>
        <w:rPr>
          <w:rFonts w:hint="eastAsia" w:ascii="宋体" w:hAnsi="宋体" w:cs="宋体"/>
          <w:sz w:val="24"/>
          <w:lang w:val="zh-CN"/>
        </w:rPr>
        <w:t>本响应文件</w:t>
      </w:r>
      <w:r>
        <w:rPr>
          <w:rFonts w:hint="eastAsia" w:ascii="宋体" w:hAnsi="宋体" w:cs="宋体"/>
          <w:sz w:val="24"/>
          <w:lang w:val="en-GB"/>
        </w:rPr>
        <w:t>自递交响应文件之日起具有不少于90天的投标有效期</w:t>
      </w:r>
      <w:r>
        <w:rPr>
          <w:rFonts w:hint="eastAsia" w:ascii="宋体" w:hAnsi="宋体" w:cs="宋体"/>
          <w:sz w:val="24"/>
        </w:rPr>
        <w:t>，若我方获成交资格，响应有效期则相应延长至项目</w:t>
      </w:r>
      <w:r>
        <w:rPr>
          <w:rFonts w:hint="eastAsia" w:ascii="宋体" w:hAnsi="宋体" w:cs="宋体"/>
          <w:sz w:val="24"/>
          <w:lang w:eastAsia="zh-CN"/>
        </w:rPr>
        <w:t>质保期满</w:t>
      </w:r>
      <w:r>
        <w:rPr>
          <w:rFonts w:hint="eastAsia" w:ascii="宋体" w:hAnsi="宋体" w:cs="宋体"/>
          <w:sz w:val="24"/>
        </w:rPr>
        <w:t>之日，不论在任何时候，定将按贵方的要求在规定时间内如实提供一切补充材料。</w:t>
      </w:r>
    </w:p>
    <w:p>
      <w:pPr>
        <w:numPr>
          <w:ilvl w:val="0"/>
          <w:numId w:val="25"/>
        </w:numPr>
        <w:spacing w:line="360" w:lineRule="auto"/>
        <w:rPr>
          <w:rFonts w:ascii="宋体" w:hAnsi="宋体" w:cs="宋体"/>
          <w:sz w:val="24"/>
        </w:rPr>
      </w:pPr>
      <w:r>
        <w:rPr>
          <w:rFonts w:hint="eastAsia" w:ascii="宋体" w:hAnsi="宋体" w:cs="宋体"/>
          <w:sz w:val="24"/>
        </w:rPr>
        <w:t>完全服从和尊重磋商小组所作的评审结果，同时清楚理解到仅凭报价或单一竞争优势并非是决定成交资格的唯一重要依据。</w:t>
      </w:r>
    </w:p>
    <w:p>
      <w:pPr>
        <w:numPr>
          <w:ilvl w:val="0"/>
          <w:numId w:val="25"/>
        </w:numPr>
        <w:spacing w:line="360" w:lineRule="auto"/>
        <w:rPr>
          <w:rFonts w:ascii="宋体" w:hAnsi="宋体" w:cs="宋体"/>
          <w:sz w:val="24"/>
        </w:rPr>
      </w:pPr>
      <w:r>
        <w:rPr>
          <w:rFonts w:hint="eastAsia" w:ascii="宋体" w:hAnsi="宋体" w:cs="宋体"/>
          <w:sz w:val="24"/>
        </w:rPr>
        <w:t>同意按采购文件的要求认真履行成交供应商应尽的义务，若我方行为不当而损害了采购方的合法权益，我方愿在任何时候无条件承担相应的缔约过失责任和经济赔偿。</w:t>
      </w:r>
    </w:p>
    <w:p>
      <w:pPr>
        <w:numPr>
          <w:ilvl w:val="0"/>
          <w:numId w:val="25"/>
        </w:numPr>
        <w:spacing w:line="360" w:lineRule="auto"/>
        <w:rPr>
          <w:rFonts w:ascii="宋体" w:hAnsi="宋体" w:cs="宋体"/>
          <w:sz w:val="24"/>
        </w:rPr>
      </w:pPr>
      <w:r>
        <w:rPr>
          <w:rFonts w:hint="eastAsia" w:ascii="宋体" w:hAnsi="宋体" w:cs="宋体"/>
          <w:sz w:val="24"/>
        </w:rPr>
        <w:t>我方已依法缴纳了各项税费及社会保险费用，如有需要，可随时向采购方提交近三个月内的相关缴费证明，以便核查。</w:t>
      </w:r>
    </w:p>
    <w:p>
      <w:pPr>
        <w:numPr>
          <w:ilvl w:val="0"/>
          <w:numId w:val="25"/>
        </w:numPr>
        <w:spacing w:line="360" w:lineRule="auto"/>
        <w:rPr>
          <w:rFonts w:ascii="宋体" w:hAnsi="宋体" w:cs="宋体"/>
          <w:sz w:val="24"/>
        </w:rPr>
      </w:pPr>
      <w:r>
        <w:rPr>
          <w:rFonts w:hint="eastAsia" w:ascii="宋体" w:hAnsi="宋体" w:cs="宋体"/>
          <w:sz w:val="24"/>
        </w:rPr>
        <w:t>我方已依法建立健全的财务会计制度，如有需要，可随时向采购方提交相关证明材料，以便核查。</w:t>
      </w:r>
    </w:p>
    <w:p>
      <w:pPr>
        <w:numPr>
          <w:ilvl w:val="0"/>
          <w:numId w:val="25"/>
        </w:numPr>
        <w:spacing w:line="360" w:lineRule="auto"/>
        <w:rPr>
          <w:rFonts w:ascii="宋体" w:hAnsi="宋体" w:cs="宋体"/>
          <w:sz w:val="24"/>
        </w:rPr>
      </w:pPr>
      <w:r>
        <w:rPr>
          <w:rFonts w:hint="eastAsia" w:ascii="宋体" w:hAnsi="宋体" w:cs="宋体"/>
          <w:sz w:val="24"/>
        </w:rPr>
        <w:t>本承诺函效力及范围均涵盖我方整套响应文件和一切补充文件。</w:t>
      </w:r>
    </w:p>
    <w:p>
      <w:pPr>
        <w:spacing w:line="420" w:lineRule="exact"/>
        <w:rPr>
          <w:rFonts w:ascii="宋体" w:hAnsi="宋体" w:cs="宋体"/>
          <w:sz w:val="24"/>
        </w:rPr>
      </w:pPr>
    </w:p>
    <w:p>
      <w:pPr>
        <w:spacing w:line="480" w:lineRule="auto"/>
        <w:ind w:firstLine="480" w:firstLineChars="200"/>
        <w:rPr>
          <w:rFonts w:ascii="宋体" w:hAnsi="宋体" w:cs="宋体"/>
          <w:sz w:val="24"/>
        </w:rPr>
      </w:pPr>
      <w:r>
        <w:rPr>
          <w:rFonts w:hint="eastAsia" w:ascii="宋体" w:hAnsi="宋体" w:cs="宋体"/>
          <w:sz w:val="24"/>
        </w:rPr>
        <w:t>供应商名称：</w:t>
      </w:r>
      <w:r>
        <w:rPr>
          <w:rFonts w:hint="eastAsia" w:ascii="宋体" w:hAnsi="宋体" w:cs="宋体"/>
          <w:sz w:val="24"/>
          <w:u w:val="single"/>
        </w:rPr>
        <w:t xml:space="preserve">           （全称）                </w:t>
      </w:r>
      <w:r>
        <w:rPr>
          <w:rFonts w:hint="eastAsia" w:ascii="宋体" w:hAnsi="宋体" w:cs="宋体"/>
          <w:sz w:val="24"/>
        </w:rPr>
        <w:t xml:space="preserve"> （公章）</w:t>
      </w:r>
    </w:p>
    <w:p>
      <w:pPr>
        <w:tabs>
          <w:tab w:val="left" w:pos="-3780"/>
        </w:tabs>
        <w:spacing w:line="360" w:lineRule="auto"/>
        <w:ind w:firstLine="480" w:firstLineChars="200"/>
        <w:rPr>
          <w:rFonts w:ascii="宋体" w:hAnsi="宋体" w:cs="宋体"/>
          <w:sz w:val="24"/>
        </w:rPr>
      </w:pPr>
      <w:r>
        <w:rPr>
          <w:rFonts w:hint="eastAsia" w:ascii="宋体" w:hAnsi="宋体" w:cs="宋体"/>
          <w:sz w:val="24"/>
        </w:rPr>
        <w:t>承诺日期：    年    月    日。</w:t>
      </w:r>
    </w:p>
    <w:p>
      <w:pPr>
        <w:ind w:left="420" w:leftChars="200" w:right="363" w:rightChars="173"/>
        <w:rPr>
          <w:rFonts w:ascii="宋体" w:hAnsi="宋体" w:cs="宋体"/>
        </w:rPr>
      </w:pPr>
      <w:bookmarkStart w:id="1327" w:name="_法人代表授权书"/>
      <w:bookmarkEnd w:id="1327"/>
      <w:bookmarkStart w:id="1328" w:name="_投标承诺函"/>
      <w:bookmarkEnd w:id="1328"/>
      <w:bookmarkStart w:id="1329" w:name="_Toc119321152"/>
      <w:bookmarkStart w:id="1330" w:name="_Toc37670364"/>
      <w:bookmarkStart w:id="1331" w:name="_Toc136662941"/>
      <w:bookmarkStart w:id="1332" w:name="_Toc49329266"/>
      <w:bookmarkStart w:id="1333" w:name="_Toc136682917"/>
      <w:r>
        <w:rPr>
          <w:rFonts w:hint="eastAsia" w:ascii="宋体" w:hAnsi="宋体" w:cs="宋体"/>
        </w:rPr>
        <w:t>说明：</w:t>
      </w:r>
    </w:p>
    <w:p>
      <w:pPr>
        <w:tabs>
          <w:tab w:val="left" w:pos="-3780"/>
        </w:tabs>
        <w:ind w:left="420" w:leftChars="200"/>
        <w:rPr>
          <w:rFonts w:ascii="宋体" w:hAnsi="宋体" w:cs="宋体"/>
        </w:rPr>
      </w:pPr>
      <w:r>
        <w:rPr>
          <w:rFonts w:hint="eastAsia" w:ascii="宋体" w:hAnsi="宋体" w:cs="宋体"/>
        </w:rPr>
        <w:t>1、本承诺函内容不得擅自删改。</w:t>
      </w:r>
    </w:p>
    <w:p>
      <w:pPr>
        <w:pStyle w:val="4"/>
        <w:pageBreakBefore/>
        <w:numPr>
          <w:ilvl w:val="0"/>
          <w:numId w:val="24"/>
        </w:numPr>
        <w:spacing w:afterLines="0"/>
        <w:ind w:left="414"/>
        <w:rPr>
          <w:rFonts w:cs="宋体"/>
          <w:color w:val="auto"/>
          <w:sz w:val="36"/>
          <w:szCs w:val="36"/>
        </w:rPr>
        <w:sectPr>
          <w:pgSz w:w="11906" w:h="16838"/>
          <w:pgMar w:top="1134" w:right="1134" w:bottom="1134" w:left="1587" w:header="567" w:footer="737" w:gutter="0"/>
          <w:pgNumType w:fmt="decimal"/>
          <w:cols w:space="720" w:num="1"/>
          <w:docGrid w:type="lines" w:linePitch="312" w:charSpace="0"/>
        </w:sectPr>
      </w:pPr>
      <w:bookmarkStart w:id="1334" w:name="_法人授权书"/>
      <w:bookmarkEnd w:id="1334"/>
      <w:bookmarkStart w:id="1335" w:name="_Toc159385076"/>
    </w:p>
    <w:p>
      <w:pPr>
        <w:pStyle w:val="4"/>
        <w:pageBreakBefore/>
        <w:numPr>
          <w:ilvl w:val="0"/>
          <w:numId w:val="24"/>
        </w:numPr>
        <w:spacing w:afterLines="0"/>
        <w:rPr>
          <w:rFonts w:ascii="Times New Roman" w:hAnsi="Times New Roman"/>
          <w:color w:val="auto"/>
          <w:sz w:val="36"/>
          <w:szCs w:val="36"/>
        </w:rPr>
      </w:pPr>
      <w:bookmarkStart w:id="1336" w:name="_法人授权书_1"/>
      <w:bookmarkEnd w:id="1336"/>
      <w:bookmarkStart w:id="1337" w:name="_Toc2517"/>
      <w:bookmarkStart w:id="1338" w:name="_Toc23563"/>
      <w:bookmarkStart w:id="1339" w:name="_Toc12878"/>
      <w:bookmarkStart w:id="1340" w:name="_Toc1568"/>
      <w:bookmarkStart w:id="1341" w:name="_Toc22772"/>
      <w:bookmarkStart w:id="1342" w:name="_Toc8465"/>
      <w:bookmarkStart w:id="1343" w:name="_Toc17786"/>
      <w:bookmarkStart w:id="1344" w:name="_Toc419106567"/>
      <w:r>
        <w:rPr>
          <w:rFonts w:hint="eastAsia" w:ascii="Times New Roman" w:hAnsi="Times New Roman"/>
          <w:color w:val="auto"/>
          <w:sz w:val="36"/>
          <w:szCs w:val="36"/>
        </w:rPr>
        <w:t>法定代表人/负责人资格证明书</w:t>
      </w:r>
      <w:bookmarkEnd w:id="1337"/>
      <w:bookmarkEnd w:id="1338"/>
      <w:bookmarkEnd w:id="1339"/>
      <w:bookmarkEnd w:id="1340"/>
      <w:bookmarkEnd w:id="1341"/>
      <w:bookmarkEnd w:id="1342"/>
    </w:p>
    <w:p>
      <w:pPr>
        <w:spacing w:line="480" w:lineRule="exact"/>
        <w:rPr>
          <w:rFonts w:hint="eastAsia" w:ascii="宋体" w:hAnsi="宋体" w:eastAsia="黑体" w:cs="宋体"/>
          <w:sz w:val="24"/>
          <w:u w:val="single"/>
          <w:lang w:eastAsia="zh-CN"/>
        </w:rPr>
      </w:pPr>
      <w:r>
        <w:rPr>
          <w:rFonts w:hint="eastAsia" w:ascii="宋体" w:hAnsi="宋体" w:cs="宋体"/>
          <w:b/>
          <w:sz w:val="28"/>
          <w:szCs w:val="28"/>
        </w:rPr>
        <w:t>致：</w:t>
      </w:r>
      <w:r>
        <w:rPr>
          <w:rFonts w:hint="eastAsia" w:ascii="黑体" w:hAnsi="宋体" w:eastAsia="黑体" w:cs="Times New Roman"/>
          <w:bCs/>
          <w:sz w:val="28"/>
          <w:szCs w:val="28"/>
          <w:lang w:eastAsia="zh-CN"/>
        </w:rPr>
        <w:t>佛山市公安局/</w:t>
      </w:r>
      <w:r>
        <w:rPr>
          <w:rFonts w:hint="eastAsia" w:ascii="黑体" w:hAnsi="宋体" w:eastAsia="黑体"/>
          <w:bCs/>
          <w:sz w:val="28"/>
          <w:szCs w:val="28"/>
          <w:lang w:eastAsia="zh-CN"/>
        </w:rPr>
        <w:t>广东远东招标代理有限公司</w:t>
      </w:r>
    </w:p>
    <w:p>
      <w:pPr>
        <w:spacing w:line="480" w:lineRule="exact"/>
        <w:rPr>
          <w:rFonts w:ascii="宋体" w:hAnsi="宋体" w:cs="宋体"/>
          <w:sz w:val="24"/>
        </w:rPr>
      </w:pPr>
    </w:p>
    <w:p>
      <w:pPr>
        <w:spacing w:line="440" w:lineRule="exact"/>
        <w:rPr>
          <w:rFonts w:ascii="宋体" w:hAnsi="宋体" w:cs="宋体"/>
          <w:sz w:val="24"/>
        </w:rPr>
      </w:pPr>
      <w:r>
        <w:rPr>
          <w:rFonts w:hint="eastAsia" w:ascii="宋体" w:hAnsi="宋体" w:cs="宋体"/>
          <w:sz w:val="24"/>
        </w:rPr>
        <w:t>同志，现任我单位职务，为法定代表人，特此证明。</w:t>
      </w:r>
    </w:p>
    <w:p>
      <w:pPr>
        <w:spacing w:line="440" w:lineRule="exact"/>
        <w:ind w:firstLine="240" w:firstLineChars="100"/>
        <w:rPr>
          <w:rFonts w:ascii="宋体" w:hAnsi="宋体" w:cs="宋体"/>
          <w:sz w:val="24"/>
        </w:rPr>
      </w:pPr>
      <w:r>
        <w:rPr>
          <w:rFonts w:hint="eastAsia" w:ascii="宋体" w:hAnsi="宋体" w:cs="宋体"/>
          <w:sz w:val="24"/>
        </w:rPr>
        <w:t>签发日期：</w:t>
      </w:r>
      <w:r>
        <w:rPr>
          <w:rFonts w:hint="eastAsia" w:ascii="宋体" w:hAnsi="宋体"/>
          <w:color w:val="000000"/>
          <w:sz w:val="24"/>
          <w:u w:val="single"/>
        </w:rPr>
        <w:t xml:space="preserve">     </w:t>
      </w:r>
      <w:r>
        <w:rPr>
          <w:rFonts w:hint="eastAsia" w:ascii="宋体" w:hAnsi="宋体" w:cs="宋体"/>
          <w:sz w:val="24"/>
        </w:rPr>
        <w:t>年</w:t>
      </w:r>
      <w:r>
        <w:rPr>
          <w:rFonts w:hint="eastAsia" w:ascii="宋体" w:hAnsi="宋体"/>
          <w:color w:val="000000"/>
          <w:sz w:val="24"/>
          <w:u w:val="single"/>
        </w:rPr>
        <w:t xml:space="preserve">    </w:t>
      </w:r>
      <w:r>
        <w:rPr>
          <w:rFonts w:hint="eastAsia" w:ascii="宋体" w:hAnsi="宋体" w:cs="宋体"/>
          <w:sz w:val="24"/>
        </w:rPr>
        <w:t xml:space="preserve"> 月 </w:t>
      </w:r>
      <w:r>
        <w:rPr>
          <w:rFonts w:hint="eastAsia" w:ascii="宋体" w:hAnsi="宋体"/>
          <w:color w:val="000000"/>
          <w:sz w:val="24"/>
          <w:u w:val="single"/>
        </w:rPr>
        <w:t xml:space="preserve">    </w:t>
      </w:r>
      <w:r>
        <w:rPr>
          <w:rFonts w:hint="eastAsia" w:ascii="宋体" w:hAnsi="宋体" w:cs="宋体"/>
          <w:sz w:val="24"/>
        </w:rPr>
        <w:t xml:space="preserve">日 </w:t>
      </w:r>
    </w:p>
    <w:p>
      <w:pPr>
        <w:spacing w:line="440" w:lineRule="exact"/>
        <w:ind w:firstLine="240" w:firstLineChars="100"/>
        <w:rPr>
          <w:rFonts w:ascii="宋体" w:hAnsi="宋体" w:cs="宋体"/>
          <w:sz w:val="24"/>
        </w:rPr>
      </w:pPr>
      <w:r>
        <w:rPr>
          <w:rFonts w:hint="eastAsia" w:ascii="宋体" w:hAnsi="宋体" w:cs="宋体"/>
          <w:sz w:val="24"/>
        </w:rPr>
        <w:t>单位名称：（</w:t>
      </w:r>
      <w:r>
        <w:rPr>
          <w:rFonts w:hint="eastAsia" w:ascii="宋体" w:hAnsi="宋体" w:cs="宋体"/>
          <w:sz w:val="24"/>
          <w:lang w:val="zh-CN"/>
        </w:rPr>
        <w:t>加盖供应商公章</w:t>
      </w:r>
      <w:r>
        <w:rPr>
          <w:rFonts w:hint="eastAsia" w:ascii="宋体" w:hAnsi="宋体" w:cs="宋体"/>
          <w:sz w:val="24"/>
        </w:rPr>
        <w:t>）</w:t>
      </w:r>
    </w:p>
    <w:p>
      <w:pPr>
        <w:spacing w:line="440" w:lineRule="exact"/>
        <w:ind w:firstLine="240" w:firstLineChars="100"/>
        <w:rPr>
          <w:rFonts w:ascii="宋体" w:hAnsi="宋体" w:cs="宋体"/>
          <w:sz w:val="24"/>
        </w:rPr>
      </w:pPr>
    </w:p>
    <w:p>
      <w:pPr>
        <w:spacing w:line="440" w:lineRule="exact"/>
        <w:ind w:firstLine="240" w:firstLineChars="100"/>
        <w:rPr>
          <w:rFonts w:ascii="宋体" w:hAnsi="宋体" w:cs="宋体"/>
          <w:sz w:val="24"/>
          <w:u w:val="single"/>
        </w:rPr>
      </w:pPr>
      <w:r>
        <w:rPr>
          <w:rFonts w:hint="eastAsia" w:ascii="宋体" w:hAnsi="宋体" w:cs="宋体"/>
          <w:sz w:val="24"/>
        </w:rPr>
        <w:t>附：法定代表人性别：</w:t>
      </w:r>
      <w:r>
        <w:rPr>
          <w:rFonts w:hint="eastAsia" w:ascii="宋体" w:hAnsi="宋体"/>
          <w:color w:val="000000"/>
          <w:sz w:val="24"/>
          <w:u w:val="single"/>
        </w:rPr>
        <w:t xml:space="preserve">        </w:t>
      </w:r>
      <w:r>
        <w:rPr>
          <w:rFonts w:hint="eastAsia" w:ascii="宋体" w:hAnsi="宋体" w:cs="宋体"/>
          <w:sz w:val="24"/>
        </w:rPr>
        <w:t xml:space="preserve"> 年龄：</w:t>
      </w:r>
      <w:r>
        <w:rPr>
          <w:rFonts w:hint="eastAsia" w:ascii="宋体" w:hAnsi="宋体"/>
          <w:color w:val="000000"/>
          <w:sz w:val="24"/>
          <w:u w:val="single"/>
        </w:rPr>
        <w:t xml:space="preserve">        </w:t>
      </w:r>
    </w:p>
    <w:p>
      <w:pPr>
        <w:spacing w:line="440" w:lineRule="exact"/>
        <w:ind w:firstLine="720" w:firstLineChars="300"/>
        <w:rPr>
          <w:rFonts w:ascii="宋体" w:hAnsi="宋体" w:cs="宋体"/>
          <w:sz w:val="24"/>
        </w:rPr>
      </w:pPr>
      <w:r>
        <w:rPr>
          <w:rFonts w:hint="eastAsia" w:ascii="宋体" w:hAnsi="宋体" w:cs="宋体"/>
          <w:sz w:val="24"/>
        </w:rPr>
        <w:t>身份证号码：</w:t>
      </w:r>
      <w:r>
        <w:rPr>
          <w:rFonts w:hint="eastAsia" w:ascii="宋体" w:hAnsi="宋体"/>
          <w:color w:val="000000"/>
          <w:sz w:val="24"/>
          <w:u w:val="single"/>
        </w:rPr>
        <w:t xml:space="preserve">                           </w:t>
      </w:r>
    </w:p>
    <w:p>
      <w:pPr>
        <w:spacing w:line="440" w:lineRule="exact"/>
        <w:ind w:firstLine="720" w:firstLineChars="300"/>
        <w:rPr>
          <w:rFonts w:ascii="宋体" w:hAnsi="宋体" w:cs="宋体"/>
          <w:sz w:val="24"/>
        </w:rPr>
      </w:pPr>
      <w:r>
        <w:rPr>
          <w:rFonts w:hint="eastAsia" w:ascii="宋体" w:hAnsi="宋体" w:cs="宋体"/>
          <w:sz w:val="24"/>
        </w:rPr>
        <w:t>联系电话：</w:t>
      </w:r>
      <w:r>
        <w:rPr>
          <w:rFonts w:hint="eastAsia" w:ascii="宋体" w:hAnsi="宋体"/>
          <w:color w:val="000000"/>
          <w:sz w:val="24"/>
          <w:u w:val="single"/>
        </w:rPr>
        <w:t xml:space="preserve">                             </w:t>
      </w:r>
    </w:p>
    <w:p>
      <w:pPr>
        <w:spacing w:line="440" w:lineRule="exact"/>
        <w:ind w:firstLine="720" w:firstLineChars="300"/>
        <w:rPr>
          <w:rFonts w:ascii="宋体" w:hAnsi="宋体" w:cs="宋体"/>
          <w:sz w:val="24"/>
        </w:rPr>
      </w:pPr>
      <w:r>
        <w:rPr>
          <w:rFonts w:hint="eastAsia" w:ascii="宋体" w:hAnsi="宋体" w:cs="宋体"/>
          <w:sz w:val="24"/>
        </w:rPr>
        <w:t>营业执照号码：</w:t>
      </w:r>
      <w:r>
        <w:rPr>
          <w:rFonts w:hint="eastAsia" w:ascii="宋体" w:hAnsi="宋体"/>
          <w:color w:val="000000"/>
          <w:sz w:val="24"/>
          <w:u w:val="single"/>
        </w:rPr>
        <w:t xml:space="preserve">                       </w:t>
      </w:r>
      <w:r>
        <w:rPr>
          <w:rFonts w:hint="eastAsia" w:ascii="宋体" w:hAnsi="宋体" w:cs="宋体"/>
          <w:sz w:val="24"/>
        </w:rPr>
        <w:t>单位性质：</w:t>
      </w:r>
      <w:r>
        <w:rPr>
          <w:rFonts w:hint="eastAsia" w:ascii="宋体" w:hAnsi="宋体"/>
          <w:color w:val="000000"/>
          <w:sz w:val="24"/>
          <w:u w:val="single"/>
        </w:rPr>
        <w:t xml:space="preserve">            </w:t>
      </w:r>
    </w:p>
    <w:p>
      <w:pPr>
        <w:spacing w:line="440" w:lineRule="exact"/>
        <w:ind w:firstLine="720" w:firstLineChars="300"/>
        <w:rPr>
          <w:rFonts w:ascii="宋体" w:hAnsi="宋体" w:cs="宋体"/>
          <w:sz w:val="24"/>
        </w:rPr>
      </w:pPr>
      <w:r>
        <w:rPr>
          <w:rFonts w:hint="eastAsia" w:ascii="宋体" w:hAnsi="宋体" w:cs="宋体"/>
          <w:sz w:val="24"/>
        </w:rPr>
        <w:t>成立时间：</w:t>
      </w:r>
      <w:r>
        <w:rPr>
          <w:rFonts w:hint="eastAsia" w:ascii="宋体" w:hAnsi="宋体"/>
          <w:color w:val="000000"/>
          <w:sz w:val="24"/>
          <w:u w:val="single"/>
        </w:rPr>
        <w:t xml:space="preserve">                                          </w:t>
      </w:r>
    </w:p>
    <w:p>
      <w:pPr>
        <w:spacing w:line="440" w:lineRule="exact"/>
        <w:rPr>
          <w:rFonts w:ascii="宋体" w:hAnsi="宋体" w:cs="宋体"/>
          <w:sz w:val="24"/>
        </w:rPr>
      </w:pPr>
    </w:p>
    <w:p>
      <w:pPr>
        <w:spacing w:line="440" w:lineRule="exact"/>
        <w:rPr>
          <w:rFonts w:ascii="宋体" w:hAnsi="宋体" w:cs="宋体"/>
          <w:sz w:val="24"/>
        </w:rPr>
      </w:pPr>
      <w:r>
        <w:rPr>
          <w:rFonts w:hint="eastAsia" w:ascii="宋体" w:hAnsi="宋体" w:cs="宋体"/>
          <w:sz w:val="24"/>
        </w:rPr>
        <w:t>说明：1.法定代表人为企业事业单位、国家机关、社会团体的主要行政负责人。</w:t>
      </w:r>
    </w:p>
    <w:p>
      <w:pPr>
        <w:spacing w:line="440" w:lineRule="exact"/>
        <w:rPr>
          <w:rFonts w:ascii="宋体" w:hAnsi="宋体" w:cs="宋体"/>
          <w:sz w:val="24"/>
        </w:rPr>
      </w:pPr>
      <w:r>
        <w:rPr>
          <w:rFonts w:hint="eastAsia" w:ascii="宋体" w:hAnsi="宋体" w:cs="宋体"/>
          <w:sz w:val="24"/>
        </w:rPr>
        <w:t xml:space="preserve">      2.内容必须填写真实、清楚、涂改无效，不得转让、买卖。</w:t>
      </w:r>
    </w:p>
    <w:p>
      <w:pPr>
        <w:spacing w:line="440" w:lineRule="exact"/>
        <w:ind w:firstLine="720" w:firstLineChars="300"/>
        <w:rPr>
          <w:rFonts w:ascii="宋体" w:hAnsi="宋体" w:cs="宋体"/>
          <w:b/>
          <w:sz w:val="24"/>
        </w:rPr>
      </w:pPr>
      <w:r>
        <w:rPr>
          <w:rFonts w:hint="eastAsia" w:ascii="宋体" w:hAnsi="宋体" w:cs="宋体"/>
          <w:sz w:val="24"/>
        </w:rPr>
        <w:t>3.将此证明书提交对方作为合同附件</w:t>
      </w:r>
      <w:r>
        <w:rPr>
          <w:rFonts w:hint="eastAsia" w:ascii="宋体" w:hAnsi="宋体" w:cs="宋体"/>
          <w:b/>
          <w:sz w:val="24"/>
        </w:rPr>
        <w:t>。</w:t>
      </w:r>
    </w:p>
    <w:p>
      <w:pPr>
        <w:rPr>
          <w:rFonts w:ascii="宋体" w:hAnsi="宋体" w:cs="宋体"/>
          <w:sz w:val="24"/>
        </w:rPr>
      </w:pPr>
    </w:p>
    <w:p>
      <w:pPr>
        <w:spacing w:after="156" w:afterLines="50"/>
        <w:ind w:left="3" w:leftChars="-85" w:hanging="181" w:hangingChars="75"/>
        <w:rPr>
          <w:rFonts w:ascii="宋体" w:hAnsi="宋体" w:cs="宋体"/>
          <w:b/>
          <w:sz w:val="24"/>
        </w:rPr>
      </w:pPr>
      <w:r>
        <w:rPr>
          <w:rFonts w:hint="eastAsia" w:ascii="宋体" w:hAnsi="宋体" w:cs="宋体"/>
          <w:b/>
          <w:sz w:val="24"/>
        </w:rPr>
        <w:t xml:space="preserve"> 附：法定代表人的身份证复印件：</w:t>
      </w:r>
    </w:p>
    <w:tbl>
      <w:tblPr>
        <w:tblStyle w:val="24"/>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2" w:hRule="atLeast"/>
        </w:trPr>
        <w:tc>
          <w:tcPr>
            <w:tcW w:w="9396" w:type="dxa"/>
            <w:vAlign w:val="center"/>
          </w:tcPr>
          <w:p>
            <w:pPr>
              <w:spacing w:line="360" w:lineRule="auto"/>
              <w:jc w:val="center"/>
              <w:rPr>
                <w:rFonts w:ascii="宋体" w:hAnsi="宋体" w:cs="宋体"/>
                <w:sz w:val="24"/>
              </w:rPr>
            </w:pPr>
            <w:r>
              <w:rPr>
                <w:rFonts w:hint="eastAsia" w:ascii="宋体" w:hAnsi="宋体" w:cs="宋体"/>
                <w:sz w:val="24"/>
              </w:rPr>
              <w:t xml:space="preserve">此处粘贴法定代表人身份证复印件（双面） </w:t>
            </w:r>
            <w:r>
              <w:rPr>
                <w:rFonts w:hint="eastAsia" w:ascii="宋体" w:hAnsi="宋体" w:cs="宋体"/>
                <w:b/>
                <w:sz w:val="24"/>
              </w:rPr>
              <w:t>或</w:t>
            </w:r>
            <w:r>
              <w:rPr>
                <w:rFonts w:hint="eastAsia" w:ascii="宋体" w:hAnsi="宋体" w:cs="宋体"/>
                <w:sz w:val="24"/>
              </w:rPr>
              <w:t xml:space="preserve"> 直接扫描到此张纸上</w:t>
            </w:r>
          </w:p>
          <w:p>
            <w:pPr>
              <w:spacing w:line="360" w:lineRule="auto"/>
              <w:jc w:val="center"/>
              <w:rPr>
                <w:rFonts w:ascii="宋体" w:hAnsi="宋体" w:cs="宋体"/>
                <w:b/>
                <w:sz w:val="24"/>
              </w:rPr>
            </w:pPr>
            <w:r>
              <w:rPr>
                <w:rFonts w:hint="eastAsia" w:ascii="宋体" w:hAnsi="宋体" w:cs="宋体"/>
                <w:sz w:val="24"/>
              </w:rPr>
              <w:t>注：若页面不够位置的，可另行附页，但须紧接此页</w:t>
            </w:r>
          </w:p>
        </w:tc>
      </w:tr>
    </w:tbl>
    <w:p>
      <w:pPr>
        <w:rPr>
          <w:rFonts w:ascii="宋体" w:hAnsi="宋体" w:cs="宋体"/>
          <w:b/>
          <w:sz w:val="24"/>
        </w:rPr>
      </w:pPr>
    </w:p>
    <w:p>
      <w:pPr>
        <w:ind w:left="472" w:hanging="472" w:hangingChars="196"/>
        <w:rPr>
          <w:rFonts w:ascii="宋体" w:hAnsi="宋体" w:cs="宋体"/>
          <w:b/>
          <w:sz w:val="24"/>
        </w:rPr>
      </w:pPr>
      <w:r>
        <w:rPr>
          <w:rFonts w:hint="eastAsia" w:ascii="宋体" w:hAnsi="宋体" w:cs="宋体"/>
          <w:b/>
          <w:sz w:val="24"/>
        </w:rPr>
        <w:t>注：法定代表人 或 授权代表人在递交响应文件时，须向采购人出示此份证明书的</w:t>
      </w:r>
      <w:r>
        <w:rPr>
          <w:rFonts w:hint="eastAsia" w:ascii="宋体" w:hAnsi="宋体" w:cs="宋体"/>
          <w:b/>
          <w:sz w:val="24"/>
          <w:u w:val="single"/>
        </w:rPr>
        <w:t>原件</w:t>
      </w:r>
      <w:r>
        <w:rPr>
          <w:rFonts w:hint="eastAsia" w:ascii="宋体" w:hAnsi="宋体" w:cs="宋体"/>
          <w:b/>
          <w:sz w:val="24"/>
        </w:rPr>
        <w:t>，否则，将拒收其响应文件。</w:t>
      </w:r>
    </w:p>
    <w:p>
      <w:pPr>
        <w:pStyle w:val="4"/>
        <w:pageBreakBefore/>
        <w:numPr>
          <w:ilvl w:val="0"/>
          <w:numId w:val="24"/>
        </w:numPr>
        <w:spacing w:afterLines="0"/>
        <w:rPr>
          <w:rFonts w:ascii="Times New Roman" w:hAnsi="Times New Roman"/>
          <w:color w:val="auto"/>
          <w:sz w:val="36"/>
          <w:szCs w:val="36"/>
        </w:rPr>
        <w:sectPr>
          <w:pgSz w:w="11906" w:h="16838"/>
          <w:pgMar w:top="1134" w:right="1134" w:bottom="1134" w:left="1587" w:header="567" w:footer="737" w:gutter="0"/>
          <w:pgNumType w:fmt="decimal"/>
          <w:cols w:space="720" w:num="1"/>
          <w:docGrid w:type="lines" w:linePitch="312" w:charSpace="0"/>
        </w:sectPr>
      </w:pPr>
    </w:p>
    <w:p>
      <w:pPr>
        <w:pStyle w:val="4"/>
        <w:pageBreakBefore/>
        <w:numPr>
          <w:ilvl w:val="0"/>
          <w:numId w:val="24"/>
        </w:numPr>
        <w:spacing w:afterLines="0"/>
        <w:rPr>
          <w:rFonts w:ascii="Times New Roman" w:hAnsi="Times New Roman"/>
          <w:color w:val="auto"/>
          <w:sz w:val="36"/>
          <w:szCs w:val="36"/>
        </w:rPr>
      </w:pPr>
      <w:bookmarkStart w:id="1345" w:name="_Toc1921"/>
      <w:bookmarkStart w:id="1346" w:name="_Toc10944"/>
      <w:bookmarkStart w:id="1347" w:name="_Toc14493"/>
      <w:bookmarkStart w:id="1348" w:name="_Toc11149"/>
      <w:bookmarkStart w:id="1349" w:name="_Toc30482"/>
      <w:bookmarkStart w:id="1350" w:name="_Toc12969"/>
      <w:r>
        <w:rPr>
          <w:rFonts w:hint="eastAsia" w:ascii="Times New Roman" w:hAnsi="Times New Roman"/>
          <w:color w:val="auto"/>
          <w:sz w:val="36"/>
          <w:szCs w:val="36"/>
        </w:rPr>
        <w:t>法定代表人（负责人）授权书</w:t>
      </w:r>
      <w:bookmarkEnd w:id="1343"/>
      <w:bookmarkEnd w:id="1344"/>
      <w:bookmarkEnd w:id="1345"/>
      <w:bookmarkEnd w:id="1346"/>
      <w:bookmarkEnd w:id="1347"/>
      <w:bookmarkEnd w:id="1348"/>
      <w:bookmarkEnd w:id="1349"/>
      <w:bookmarkEnd w:id="1350"/>
    </w:p>
    <w:p>
      <w:pPr>
        <w:spacing w:line="360" w:lineRule="auto"/>
        <w:ind w:left="316" w:hanging="316" w:hangingChars="150"/>
        <w:rPr>
          <w:b/>
          <w:bCs/>
        </w:rPr>
      </w:pPr>
    </w:p>
    <w:p>
      <w:pPr>
        <w:spacing w:line="480" w:lineRule="auto"/>
        <w:ind w:left="420" w:hanging="420" w:hangingChars="150"/>
        <w:rPr>
          <w:rFonts w:ascii="黑体" w:eastAsia="黑体"/>
          <w:bCs/>
          <w:sz w:val="28"/>
          <w:szCs w:val="28"/>
        </w:rPr>
      </w:pPr>
      <w:r>
        <w:rPr>
          <w:rFonts w:hint="eastAsia" w:ascii="黑体" w:eastAsia="黑体"/>
          <w:bCs/>
          <w:sz w:val="28"/>
          <w:szCs w:val="28"/>
        </w:rPr>
        <w:t xml:space="preserve">致  </w:t>
      </w:r>
      <w:r>
        <w:rPr>
          <w:rFonts w:hint="eastAsia" w:ascii="黑体" w:hAnsi="宋体" w:eastAsia="黑体"/>
          <w:bCs/>
          <w:sz w:val="28"/>
          <w:szCs w:val="28"/>
          <w:lang w:eastAsia="zh-CN"/>
        </w:rPr>
        <w:t>佛山市公安局</w:t>
      </w:r>
      <w:r>
        <w:rPr>
          <w:rFonts w:hint="eastAsia" w:ascii="黑体" w:hAnsi="宋体" w:eastAsia="黑体" w:cs="Times New Roman"/>
          <w:bCs/>
          <w:sz w:val="28"/>
          <w:szCs w:val="28"/>
          <w:lang w:eastAsia="zh-CN"/>
        </w:rPr>
        <w:t>/广东远东招标代理有限公司：</w:t>
      </w:r>
    </w:p>
    <w:p>
      <w:pPr>
        <w:spacing w:line="360" w:lineRule="auto"/>
        <w:ind w:firstLine="480" w:firstLineChars="200"/>
        <w:rPr>
          <w:rFonts w:ascii="宋体" w:hAnsi="宋体"/>
          <w:sz w:val="24"/>
          <w:lang w:val="en-GB"/>
        </w:rPr>
      </w:pPr>
      <w:r>
        <w:rPr>
          <w:rFonts w:hint="eastAsia" w:ascii="宋体" w:hAnsi="宋体"/>
          <w:sz w:val="24"/>
          <w:lang w:val="en-GB"/>
        </w:rPr>
        <w:t>我单位特授权委任以下之现职员工，作为我方于本项目投标的唯一</w:t>
      </w:r>
      <w:r>
        <w:rPr>
          <w:rFonts w:hint="eastAsia" w:ascii="宋体" w:hAnsi="宋体" w:cs="宋体"/>
          <w:sz w:val="24"/>
          <w:lang w:val="en-GB"/>
        </w:rPr>
        <w:t>全权代表</w:t>
      </w:r>
      <w:r>
        <w:rPr>
          <w:rFonts w:hint="eastAsia" w:ascii="宋体" w:hAnsi="宋体"/>
          <w:sz w:val="24"/>
          <w:lang w:val="en-GB"/>
        </w:rPr>
        <w:t>，亲自出席参与贵方承办的政府采购项目投标，对该代表人所提供、签署的一切文书均视为符合我方的合法利益和真实意愿，我方愿为其投标行为承担全部责任。</w:t>
      </w:r>
    </w:p>
    <w:p>
      <w:pPr>
        <w:spacing w:line="360" w:lineRule="auto"/>
        <w:ind w:left="1727" w:leftChars="251" w:hanging="1200" w:hangingChars="500"/>
        <w:jc w:val="left"/>
        <w:rPr>
          <w:rFonts w:hint="eastAsia" w:ascii="宋体" w:hAnsi="宋体" w:eastAsia="宋体"/>
          <w:sz w:val="24"/>
          <w:lang w:val="en-GB" w:eastAsia="zh-CN"/>
        </w:rPr>
      </w:pPr>
      <w:r>
        <w:rPr>
          <w:rFonts w:hint="eastAsia" w:ascii="宋体" w:hAnsi="宋体"/>
          <w:sz w:val="24"/>
        </w:rPr>
        <w:t>项目名称：</w:t>
      </w:r>
      <w:r>
        <w:rPr>
          <w:rFonts w:hint="eastAsia" w:ascii="宋体" w:hAnsi="宋体" w:cs="宋体"/>
          <w:sz w:val="24"/>
          <w:u w:val="single"/>
          <w:lang w:eastAsia="zh-CN"/>
        </w:rPr>
        <w:t>佛山市公安局铺设电缆</w:t>
      </w:r>
    </w:p>
    <w:p>
      <w:pPr>
        <w:spacing w:line="360" w:lineRule="auto"/>
        <w:ind w:firstLine="528" w:firstLineChars="220"/>
        <w:jc w:val="left"/>
        <w:rPr>
          <w:rFonts w:ascii="宋体" w:hAnsi="宋体"/>
          <w:sz w:val="24"/>
          <w:lang w:val="en-GB"/>
        </w:rPr>
      </w:pPr>
      <w:r>
        <w:rPr>
          <w:rFonts w:hint="eastAsia" w:ascii="宋体" w:hAnsi="宋体"/>
          <w:sz w:val="24"/>
          <w:lang w:val="en-GB" w:eastAsia="zh-CN"/>
        </w:rPr>
        <w:t>项目编号：</w:t>
      </w:r>
      <w:r>
        <w:rPr>
          <w:rFonts w:hint="eastAsia" w:ascii="宋体" w:hAnsi="宋体"/>
          <w:sz w:val="24"/>
          <w:u w:val="single"/>
          <w:lang w:val="en-US" w:eastAsia="zh-CN"/>
        </w:rPr>
        <w:t xml:space="preserve"> </w:t>
      </w:r>
      <w:r>
        <w:rPr>
          <w:rFonts w:hint="eastAsia" w:ascii="宋体" w:hAnsi="宋体"/>
          <w:sz w:val="24"/>
          <w:u w:val="single"/>
        </w:rPr>
        <w:t xml:space="preserve">fsganb202404005 </w:t>
      </w:r>
      <w:r>
        <w:fldChar w:fldCharType="begin"/>
      </w:r>
      <w:r>
        <w:instrText xml:space="preserve"> DOCVARIABLE  项目名称  \* MERGEFORMAT </w:instrText>
      </w:r>
      <w:r>
        <w:fldChar w:fldCharType="end"/>
      </w:r>
    </w:p>
    <w:p>
      <w:pPr>
        <w:spacing w:line="360" w:lineRule="auto"/>
        <w:ind w:firstLine="480" w:firstLineChars="200"/>
        <w:jc w:val="left"/>
        <w:rPr>
          <w:rFonts w:ascii="宋体" w:hAnsi="宋体"/>
          <w:sz w:val="24"/>
        </w:rPr>
      </w:pPr>
      <w:r>
        <w:rPr>
          <w:rFonts w:hint="eastAsia" w:ascii="宋体" w:hAnsi="宋体"/>
          <w:sz w:val="24"/>
        </w:rPr>
        <w:t>委任授权代表姓名：</w:t>
      </w:r>
      <w:r>
        <w:rPr>
          <w:rFonts w:hint="eastAsia" w:ascii="宋体" w:hAnsi="宋体"/>
          <w:sz w:val="24"/>
          <w:u w:val="single"/>
        </w:rPr>
        <w:t xml:space="preserve">   （印刷体）    </w:t>
      </w:r>
      <w:r>
        <w:rPr>
          <w:rFonts w:hint="eastAsia" w:ascii="宋体" w:hAnsi="宋体"/>
          <w:sz w:val="24"/>
        </w:rPr>
        <w:t xml:space="preserve"> ，身份证号码：</w:t>
      </w:r>
      <w:r>
        <w:rPr>
          <w:rFonts w:hint="eastAsia" w:ascii="宋体" w:hAnsi="宋体"/>
          <w:sz w:val="24"/>
          <w:u w:val="single"/>
        </w:rPr>
        <w:t xml:space="preserve">                    </w:t>
      </w:r>
    </w:p>
    <w:p>
      <w:pPr>
        <w:spacing w:line="360" w:lineRule="auto"/>
        <w:ind w:firstLine="480" w:firstLineChars="200"/>
        <w:jc w:val="left"/>
        <w:rPr>
          <w:rFonts w:ascii="宋体" w:hAnsi="宋体"/>
          <w:sz w:val="24"/>
        </w:rPr>
      </w:pPr>
      <w:r>
        <w:rPr>
          <w:rFonts w:hint="eastAsia" w:ascii="宋体" w:hAnsi="宋体"/>
          <w:sz w:val="24"/>
        </w:rPr>
        <w:t>联系电话（手机）：</w:t>
      </w:r>
      <w:r>
        <w:rPr>
          <w:rFonts w:hint="eastAsia" w:ascii="宋体" w:hAnsi="宋体"/>
          <w:sz w:val="24"/>
          <w:u w:val="single"/>
        </w:rPr>
        <w:t xml:space="preserve">                    </w:t>
      </w:r>
      <w:r>
        <w:rPr>
          <w:rFonts w:hint="eastAsia" w:ascii="宋体" w:hAnsi="宋体"/>
          <w:sz w:val="24"/>
        </w:rPr>
        <w:t>，现职务：；</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jc w:val="left"/>
        <w:rPr>
          <w:rFonts w:ascii="宋体" w:hAnsi="宋体"/>
          <w:sz w:val="24"/>
        </w:rPr>
      </w:pPr>
      <w:r>
        <w:rPr>
          <w:rFonts w:hint="eastAsia" w:ascii="宋体" w:hAnsi="宋体"/>
          <w:sz w:val="24"/>
        </w:rPr>
        <w:t>授权权限：全权代表本单位参与上述项目的投标、</w:t>
      </w:r>
      <w:r>
        <w:rPr>
          <w:rFonts w:hint="eastAsia" w:ascii="宋体" w:hAnsi="宋体" w:cs="宋体"/>
          <w:sz w:val="24"/>
          <w:lang w:val="en-GB"/>
        </w:rPr>
        <w:t>递交投标文件、出席开标全程、响应评委会临时召唤而出席评标现场；按照采购方和评委会的要求现场处理投标相关事宜；</w:t>
      </w:r>
      <w:r>
        <w:rPr>
          <w:rFonts w:hint="eastAsia" w:ascii="宋体" w:hAnsi="宋体"/>
          <w:sz w:val="24"/>
        </w:rPr>
        <w:t>负责提供与签署确认一切文书资料，以及向贵方递交的任何补充承诺。</w:t>
      </w:r>
    </w:p>
    <w:p>
      <w:pPr>
        <w:spacing w:line="360" w:lineRule="auto"/>
        <w:ind w:firstLine="480" w:firstLineChars="200"/>
        <w:jc w:val="left"/>
        <w:rPr>
          <w:rFonts w:ascii="宋体" w:hAnsi="宋体" w:cs="宋体"/>
          <w:sz w:val="24"/>
        </w:rPr>
      </w:pPr>
      <w:r>
        <w:rPr>
          <w:rFonts w:hint="eastAsia" w:ascii="宋体" w:hAnsi="宋体" w:cs="宋体"/>
          <w:sz w:val="24"/>
        </w:rPr>
        <w:t>有效期限：与本项目招标文件要求的投标有效期相同，自本单位盖章之日起生效。</w:t>
      </w:r>
    </w:p>
    <w:p>
      <w:pPr>
        <w:spacing w:after="156" w:afterLines="50" w:line="360" w:lineRule="auto"/>
        <w:ind w:firstLine="480" w:firstLineChars="200"/>
        <w:jc w:val="left"/>
        <w:rPr>
          <w:rFonts w:ascii="宋体" w:hAnsi="宋体" w:cs="宋体"/>
          <w:sz w:val="24"/>
        </w:rPr>
      </w:pPr>
      <w:r>
        <w:rPr>
          <w:rFonts w:hint="eastAsia" w:ascii="宋体" w:hAnsi="宋体" w:cs="宋体"/>
          <w:sz w:val="24"/>
        </w:rPr>
        <w:t>特此授权证明。</w:t>
      </w:r>
    </w:p>
    <w:p>
      <w:pPr>
        <w:spacing w:line="360" w:lineRule="auto"/>
        <w:ind w:firstLine="480" w:firstLineChars="200"/>
        <w:rPr>
          <w:rFonts w:ascii="宋体" w:hAnsi="宋体" w:cs="宋体"/>
          <w:sz w:val="24"/>
          <w:lang w:val="en-GB"/>
        </w:rPr>
      </w:pPr>
      <w:r>
        <w:rPr>
          <w:rFonts w:hint="eastAsia" w:ascii="宋体" w:hAnsi="宋体" w:cs="宋体"/>
          <w:sz w:val="24"/>
          <w:lang w:val="en-GB" w:eastAsia="zh-CN"/>
        </w:rPr>
        <w:t>供应商</w:t>
      </w:r>
      <w:r>
        <w:rPr>
          <w:rFonts w:hint="eastAsia" w:ascii="宋体" w:hAnsi="宋体" w:cs="宋体"/>
          <w:sz w:val="24"/>
          <w:lang w:val="en-GB"/>
        </w:rPr>
        <w:t>名称：</w:t>
      </w:r>
      <w:r>
        <w:rPr>
          <w:rFonts w:hint="eastAsia" w:ascii="宋体" w:hAnsi="宋体" w:cs="宋体"/>
          <w:sz w:val="24"/>
          <w:u w:val="single"/>
          <w:lang w:val="en-GB"/>
        </w:rPr>
        <w:t xml:space="preserve">       （全称）              </w:t>
      </w:r>
      <w:r>
        <w:rPr>
          <w:rFonts w:hint="eastAsia" w:ascii="宋体" w:hAnsi="宋体" w:cs="宋体"/>
          <w:sz w:val="24"/>
          <w:lang w:val="en-GB"/>
        </w:rPr>
        <w:t>（公章）</w:t>
      </w:r>
    </w:p>
    <w:p>
      <w:pPr>
        <w:spacing w:line="360" w:lineRule="auto"/>
        <w:ind w:firstLine="480" w:firstLineChars="200"/>
        <w:rPr>
          <w:rFonts w:ascii="宋体" w:hAnsi="宋体" w:cs="宋体"/>
          <w:sz w:val="24"/>
          <w:lang w:val="en-GB"/>
        </w:rPr>
      </w:pPr>
      <w:r>
        <w:rPr>
          <w:rFonts w:hint="eastAsia" w:ascii="宋体" w:hAnsi="宋体" w:cs="宋体"/>
          <w:sz w:val="24"/>
          <w:lang w:val="en-GB"/>
        </w:rPr>
        <w:t>法定代表人（或事业单位负责人）：</w:t>
      </w:r>
      <w:r>
        <w:rPr>
          <w:rFonts w:hint="eastAsia" w:ascii="宋体" w:hAnsi="宋体" w:cs="宋体"/>
          <w:sz w:val="24"/>
          <w:u w:val="single"/>
        </w:rPr>
        <w:t xml:space="preserve">                   </w:t>
      </w:r>
      <w:r>
        <w:rPr>
          <w:rFonts w:hint="eastAsia" w:ascii="宋体" w:hAnsi="宋体" w:cs="宋体"/>
          <w:sz w:val="24"/>
          <w:lang w:val="en-GB"/>
        </w:rPr>
        <w:t>（亲笔签名或签章）</w:t>
      </w:r>
    </w:p>
    <w:p>
      <w:pPr>
        <w:spacing w:line="360" w:lineRule="auto"/>
        <w:ind w:firstLine="480" w:firstLineChars="200"/>
        <w:rPr>
          <w:rFonts w:ascii="宋体" w:hAnsi="宋体" w:cs="宋体"/>
          <w:sz w:val="24"/>
          <w:lang w:val="en-GB"/>
        </w:rPr>
      </w:pPr>
      <w:r>
        <w:rPr>
          <w:rFonts w:hint="eastAsia" w:ascii="宋体" w:hAnsi="宋体" w:cs="宋体"/>
          <w:sz w:val="24"/>
          <w:lang w:val="en-GB"/>
        </w:rPr>
        <w:t>职    务：</w:t>
      </w:r>
      <w:r>
        <w:rPr>
          <w:rFonts w:hint="eastAsia" w:ascii="宋体" w:hAnsi="宋体" w:cs="宋体"/>
          <w:sz w:val="24"/>
          <w:u w:val="single"/>
        </w:rPr>
        <w:t xml:space="preserve">           </w:t>
      </w:r>
      <w:r>
        <w:rPr>
          <w:rFonts w:hint="eastAsia" w:ascii="宋体" w:hAnsi="宋体" w:cs="宋体"/>
          <w:sz w:val="24"/>
          <w:lang w:val="en-GB"/>
        </w:rPr>
        <w:t>；联系电话：</w:t>
      </w:r>
      <w:r>
        <w:rPr>
          <w:rFonts w:hint="eastAsia" w:ascii="宋体" w:hAnsi="宋体" w:cs="宋体"/>
          <w:sz w:val="24"/>
          <w:u w:val="single"/>
        </w:rPr>
        <w:t xml:space="preserve">         </w:t>
      </w:r>
      <w:r>
        <w:rPr>
          <w:rFonts w:hint="eastAsia" w:ascii="宋体" w:hAnsi="宋体" w:cs="宋体"/>
          <w:sz w:val="24"/>
          <w:lang w:val="en-GB"/>
        </w:rPr>
        <w:t>； 传真号码：</w:t>
      </w:r>
      <w:r>
        <w:rPr>
          <w:rFonts w:hint="eastAsia" w:ascii="宋体" w:hAnsi="宋体" w:cs="宋体"/>
          <w:sz w:val="24"/>
          <w:u w:val="single"/>
        </w:rPr>
        <w:t xml:space="preserve">           </w:t>
      </w:r>
      <w:r>
        <w:rPr>
          <w:rFonts w:hint="eastAsia" w:ascii="宋体" w:hAnsi="宋体" w:cs="宋体"/>
          <w:sz w:val="24"/>
          <w:lang w:val="en-GB"/>
        </w:rPr>
        <w:t>；</w:t>
      </w:r>
    </w:p>
    <w:p>
      <w:pPr>
        <w:spacing w:line="360" w:lineRule="auto"/>
        <w:ind w:firstLine="480" w:firstLineChars="200"/>
        <w:rPr>
          <w:rFonts w:ascii="宋体" w:hAnsi="宋体" w:cs="宋体"/>
          <w:sz w:val="24"/>
          <w:lang w:val="en-GB"/>
        </w:rPr>
      </w:pPr>
      <w:r>
        <w:rPr>
          <w:rFonts w:hint="eastAsia" w:ascii="宋体" w:hAnsi="宋体" w:cs="宋体"/>
          <w:sz w:val="24"/>
          <w:lang w:val="en-GB"/>
        </w:rPr>
        <w:t>生 效 日 期</w:t>
      </w:r>
      <w:r>
        <w:rPr>
          <w:rFonts w:hint="eastAsia" w:ascii="宋体" w:hAnsi="宋体" w:cs="宋体"/>
          <w:sz w:val="24"/>
          <w:highlight w:val="none"/>
          <w:lang w:val="en-GB"/>
        </w:rPr>
        <w:t xml:space="preserve"> ：</w:t>
      </w:r>
      <w:r>
        <w:rPr>
          <w:rFonts w:hint="eastAsia" w:ascii="宋体" w:hAnsi="宋体" w:cs="宋体"/>
          <w:sz w:val="24"/>
          <w:highlight w:val="none"/>
          <w:u w:val="single"/>
          <w:lang w:val="en-GB"/>
        </w:rPr>
        <w:t>202</w:t>
      </w:r>
      <w:r>
        <w:rPr>
          <w:rFonts w:hint="eastAsia" w:ascii="宋体" w:hAnsi="宋体" w:cs="宋体"/>
          <w:sz w:val="24"/>
          <w:highlight w:val="none"/>
          <w:u w:val="single"/>
          <w:lang w:val="en-US" w:eastAsia="zh-CN"/>
        </w:rPr>
        <w:t>4</w:t>
      </w:r>
      <w:r>
        <w:rPr>
          <w:rFonts w:hint="eastAsia" w:ascii="宋体" w:hAnsi="宋体" w:cs="宋体"/>
          <w:sz w:val="24"/>
          <w:highlight w:val="none"/>
          <w:lang w:val="en-GB"/>
        </w:rPr>
        <w:t>年</w:t>
      </w:r>
      <w:r>
        <w:rPr>
          <w:rFonts w:hint="eastAsia" w:ascii="宋体" w:hAnsi="宋体" w:cs="宋体"/>
          <w:sz w:val="24"/>
          <w:highlight w:val="none"/>
          <w:u w:val="single"/>
          <w:lang w:val="en-GB"/>
        </w:rPr>
        <w:t xml:space="preserve">  </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line="360" w:lineRule="auto"/>
        <w:ind w:left="420" w:leftChars="200" w:right="363" w:rightChars="173"/>
        <w:rPr>
          <w:rFonts w:ascii="宋体" w:hAnsi="宋体" w:cs="宋体"/>
          <w:szCs w:val="21"/>
          <w:lang w:val="en-GB"/>
        </w:rPr>
      </w:pPr>
      <w:r>
        <w:rPr>
          <w:rFonts w:hint="eastAsia" w:ascii="宋体" w:hAnsi="宋体" w:cs="宋体"/>
          <w:szCs w:val="21"/>
          <w:lang w:val="en-GB"/>
        </w:rPr>
        <w:t>说明：</w:t>
      </w:r>
    </w:p>
    <w:p>
      <w:pPr>
        <w:spacing w:line="360" w:lineRule="auto"/>
        <w:ind w:left="735" w:leftChars="200" w:right="363" w:rightChars="173" w:hanging="315" w:hangingChars="150"/>
        <w:rPr>
          <w:rFonts w:ascii="宋体" w:hAnsi="宋体" w:cs="宋体"/>
          <w:szCs w:val="21"/>
          <w:lang w:val="en-GB"/>
        </w:rPr>
      </w:pPr>
      <w:r>
        <w:rPr>
          <w:rFonts w:hint="eastAsia" w:ascii="宋体" w:hAnsi="宋体" w:cs="宋体"/>
          <w:szCs w:val="21"/>
          <w:lang w:val="en-GB"/>
        </w:rPr>
        <w:t>1、</w:t>
      </w:r>
      <w:r>
        <w:rPr>
          <w:rFonts w:hint="eastAsia" w:ascii="宋体" w:hAnsi="宋体" w:cs="宋体"/>
          <w:szCs w:val="21"/>
          <w:u w:val="single"/>
          <w:lang w:val="en-GB"/>
        </w:rPr>
        <w:t>法定代表人 或 授权代表人在递交投标文件时，须向采购代理机构人员出示此份证明书的原件，否则，采购代理机构将拒收其投标文件。</w:t>
      </w:r>
    </w:p>
    <w:p>
      <w:pPr>
        <w:spacing w:line="360" w:lineRule="auto"/>
        <w:ind w:left="735" w:leftChars="200" w:hanging="315" w:hangingChars="150"/>
        <w:rPr>
          <w:rFonts w:ascii="宋体" w:hAnsi="宋体" w:cs="宋体"/>
          <w:szCs w:val="21"/>
          <w:lang w:val="en-GB"/>
        </w:rPr>
      </w:pPr>
      <w:r>
        <w:rPr>
          <w:rFonts w:hint="eastAsia" w:ascii="宋体" w:hAnsi="宋体" w:cs="宋体"/>
          <w:szCs w:val="21"/>
          <w:lang w:val="en-GB"/>
        </w:rPr>
        <w:t>2、</w:t>
      </w:r>
      <w:r>
        <w:rPr>
          <w:rFonts w:hint="eastAsia" w:ascii="宋体" w:hAnsi="宋体" w:cs="宋体"/>
          <w:szCs w:val="21"/>
          <w:u w:val="single"/>
          <w:lang w:val="en-GB"/>
        </w:rPr>
        <w:t>本授权书内容不得擅自删改。</w:t>
      </w:r>
      <w:r>
        <w:rPr>
          <w:rFonts w:hint="eastAsia" w:ascii="宋体" w:hAnsi="宋体" w:cs="宋体"/>
          <w:u w:val="single"/>
          <w:lang w:val="en-GB"/>
        </w:rPr>
        <w:t>如法定代表人（或事业单位负责人）亲临现场参与投标、决策、签字的，则不需此函。</w:t>
      </w:r>
    </w:p>
    <w:p>
      <w:pPr>
        <w:spacing w:line="360" w:lineRule="auto"/>
        <w:ind w:firstLine="420" w:firstLineChars="200"/>
        <w:rPr>
          <w:rFonts w:ascii="黑体" w:eastAsia="黑体"/>
        </w:rPr>
      </w:pPr>
    </w:p>
    <w:p>
      <w:pPr>
        <w:spacing w:line="360" w:lineRule="auto"/>
        <w:ind w:firstLine="420" w:firstLineChars="200"/>
      </w:pPr>
    </w:p>
    <w:p>
      <w:pPr>
        <w:ind w:left="420" w:leftChars="200" w:right="363" w:rightChars="173"/>
      </w:pPr>
    </w:p>
    <w:p>
      <w:pPr>
        <w:pageBreakBefore/>
        <w:autoSpaceDE w:val="0"/>
        <w:autoSpaceDN w:val="0"/>
        <w:adjustRightInd w:val="0"/>
        <w:ind w:left="-6"/>
        <w:jc w:val="center"/>
        <w:rPr>
          <w:b/>
          <w:sz w:val="30"/>
          <w:szCs w:val="30"/>
        </w:rPr>
      </w:pPr>
      <w:bookmarkStart w:id="1351" w:name="_Toc304886140"/>
      <w:bookmarkStart w:id="1352" w:name="_Toc325031947"/>
      <w:bookmarkStart w:id="1353" w:name="_Toc310519891"/>
      <w:bookmarkStart w:id="1354" w:name="_Toc419106568"/>
      <w:bookmarkStart w:id="1355" w:name="_Toc3157"/>
      <w:bookmarkStart w:id="1356" w:name="_Ref266198344"/>
      <w:bookmarkStart w:id="1357" w:name="_Toc304304969"/>
      <w:r>
        <w:rPr>
          <w:rFonts w:hint="eastAsia"/>
          <w:b/>
          <w:sz w:val="30"/>
          <w:szCs w:val="30"/>
        </w:rPr>
        <w:t>授权代表身份证</w:t>
      </w:r>
      <w:bookmarkEnd w:id="1351"/>
      <w:bookmarkEnd w:id="1352"/>
      <w:bookmarkEnd w:id="1353"/>
      <w:bookmarkEnd w:id="1354"/>
      <w:bookmarkEnd w:id="1355"/>
      <w:bookmarkEnd w:id="1356"/>
      <w:bookmarkEnd w:id="1357"/>
    </w:p>
    <w:tbl>
      <w:tblPr>
        <w:tblStyle w:val="24"/>
        <w:tblW w:w="9180" w:type="dxa"/>
        <w:tblInd w:w="10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35" w:hRule="atLeast"/>
        </w:trPr>
        <w:tc>
          <w:tcPr>
            <w:tcW w:w="9180" w:type="dxa"/>
          </w:tcPr>
          <w:p>
            <w:pPr>
              <w:ind w:right="-107" w:rightChars="-51"/>
            </w:pPr>
            <w:r>
              <w:rPr>
                <w:rFonts w:hint="eastAsia"/>
              </w:rPr>
              <w:t>A4纸</w:t>
            </w:r>
          </w:p>
          <w:p/>
          <w:tbl>
            <w:tblPr>
              <w:tblStyle w:val="24"/>
              <w:tblW w:w="8100" w:type="dxa"/>
              <w:tblInd w:w="42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
            <w:tblGrid>
              <w:gridCol w:w="81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CellMar>
                  <w:top w:w="0" w:type="dxa"/>
                  <w:left w:w="108" w:type="dxa"/>
                  <w:bottom w:w="0" w:type="dxa"/>
                  <w:right w:w="108" w:type="dxa"/>
                </w:tblCellMar>
              </w:tblPrEx>
              <w:trPr>
                <w:trHeight w:val="4197" w:hRule="atLeast"/>
              </w:trPr>
              <w:tc>
                <w:tcPr>
                  <w:tcW w:w="8100" w:type="dxa"/>
                  <w:shd w:val="clear" w:color="auto" w:fill="F3F3F3"/>
                  <w:vAlign w:val="center"/>
                </w:tcPr>
                <w:p>
                  <w:pPr>
                    <w:jc w:val="center"/>
                  </w:pPr>
                  <w:r>
                    <w:rPr>
                      <w:rFonts w:hint="eastAsia"/>
                    </w:rPr>
                    <w:t>授权代表身份证正面</w:t>
                  </w:r>
                </w:p>
              </w:tc>
            </w:tr>
          </w:tbl>
          <w:p>
            <w:pPr>
              <w:spacing w:line="360" w:lineRule="auto"/>
            </w:pPr>
          </w:p>
          <w:p>
            <w:pPr>
              <w:spacing w:line="360" w:lineRule="auto"/>
              <w:rPr>
                <w:rFonts w:ascii="宋体" w:hAnsi="宋体"/>
              </w:rPr>
            </w:pPr>
          </w:p>
          <w:p>
            <w:pPr>
              <w:ind w:firstLine="480"/>
              <w:rPr>
                <w:u w:val="single"/>
              </w:rPr>
            </w:pPr>
          </w:p>
          <w:p>
            <w:pPr>
              <w:rPr>
                <w:u w:val="single"/>
              </w:rPr>
            </w:pPr>
          </w:p>
          <w:tbl>
            <w:tblPr>
              <w:tblStyle w:val="24"/>
              <w:tblW w:w="8100" w:type="dxa"/>
              <w:tblInd w:w="42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
            <w:tblGrid>
              <w:gridCol w:w="81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CellMar>
                  <w:top w:w="0" w:type="dxa"/>
                  <w:left w:w="108" w:type="dxa"/>
                  <w:bottom w:w="0" w:type="dxa"/>
                  <w:right w:w="108" w:type="dxa"/>
                </w:tblCellMar>
              </w:tblPrEx>
              <w:trPr>
                <w:trHeight w:val="4614" w:hRule="atLeast"/>
              </w:trPr>
              <w:tc>
                <w:tcPr>
                  <w:tcW w:w="8100" w:type="dxa"/>
                  <w:shd w:val="clear" w:color="auto" w:fill="F3F3F3"/>
                  <w:vAlign w:val="center"/>
                </w:tcPr>
                <w:p>
                  <w:pPr>
                    <w:jc w:val="center"/>
                  </w:pPr>
                  <w:r>
                    <w:rPr>
                      <w:rFonts w:hint="eastAsia"/>
                    </w:rPr>
                    <w:t>授权代表身份证反面</w:t>
                  </w:r>
                </w:p>
              </w:tc>
            </w:tr>
          </w:tbl>
          <w:p/>
          <w:p>
            <w:pPr>
              <w:spacing w:line="360" w:lineRule="auto"/>
            </w:pPr>
          </w:p>
        </w:tc>
      </w:tr>
      <w:bookmarkEnd w:id="1284"/>
      <w:bookmarkEnd w:id="1285"/>
      <w:bookmarkEnd w:id="1286"/>
      <w:bookmarkEnd w:id="1329"/>
      <w:bookmarkEnd w:id="1330"/>
      <w:bookmarkEnd w:id="1331"/>
      <w:bookmarkEnd w:id="1332"/>
      <w:bookmarkEnd w:id="1333"/>
      <w:bookmarkEnd w:id="1335"/>
    </w:tbl>
    <w:p>
      <w:pPr>
        <w:ind w:left="420" w:leftChars="200" w:right="363" w:rightChars="173"/>
      </w:pPr>
    </w:p>
    <w:p>
      <w:pPr>
        <w:pStyle w:val="4"/>
        <w:pageBreakBefore/>
        <w:numPr>
          <w:ilvl w:val="0"/>
          <w:numId w:val="24"/>
        </w:numPr>
        <w:spacing w:afterLines="0"/>
        <w:rPr>
          <w:rFonts w:ascii="Times New Roman" w:hAnsi="Times New Roman"/>
          <w:color w:val="auto"/>
          <w:sz w:val="36"/>
          <w:szCs w:val="36"/>
        </w:rPr>
        <w:sectPr>
          <w:pgSz w:w="11906" w:h="16838"/>
          <w:pgMar w:top="1134" w:right="1134" w:bottom="1134" w:left="1587" w:header="567" w:footer="737" w:gutter="0"/>
          <w:pgNumType w:fmt="decimal"/>
          <w:cols w:space="720" w:num="1"/>
          <w:docGrid w:type="lines" w:linePitch="312" w:charSpace="0"/>
        </w:sectPr>
      </w:pPr>
      <w:bookmarkStart w:id="1358" w:name="_企业资质、资格性证明"/>
      <w:bookmarkEnd w:id="1358"/>
      <w:bookmarkStart w:id="1359" w:name="_Toc419106569"/>
      <w:bookmarkStart w:id="1360" w:name="_Toc159385077"/>
    </w:p>
    <w:p>
      <w:pPr>
        <w:pStyle w:val="4"/>
        <w:pageBreakBefore/>
        <w:numPr>
          <w:ilvl w:val="0"/>
          <w:numId w:val="24"/>
        </w:numPr>
        <w:spacing w:afterLines="0"/>
        <w:rPr>
          <w:rFonts w:ascii="Times New Roman" w:hAnsi="Times New Roman"/>
          <w:color w:val="auto"/>
          <w:sz w:val="36"/>
          <w:szCs w:val="36"/>
        </w:rPr>
      </w:pPr>
      <w:bookmarkStart w:id="1361" w:name="_Toc5040"/>
      <w:bookmarkStart w:id="1362" w:name="_Toc14046"/>
      <w:bookmarkStart w:id="1363" w:name="_Toc14961"/>
      <w:bookmarkStart w:id="1364" w:name="_Toc4200"/>
      <w:bookmarkStart w:id="1365" w:name="_Toc5648"/>
      <w:bookmarkStart w:id="1366" w:name="_Toc2829"/>
      <w:r>
        <w:rPr>
          <w:rFonts w:hint="eastAsia" w:ascii="Times New Roman" w:hAnsi="Times New Roman"/>
          <w:color w:val="auto"/>
          <w:sz w:val="36"/>
          <w:szCs w:val="36"/>
        </w:rPr>
        <w:t>营业执照副本</w:t>
      </w:r>
      <w:bookmarkEnd w:id="1361"/>
      <w:bookmarkEnd w:id="1362"/>
      <w:bookmarkEnd w:id="1363"/>
      <w:bookmarkEnd w:id="1364"/>
      <w:bookmarkEnd w:id="1365"/>
      <w:bookmarkEnd w:id="1366"/>
    </w:p>
    <w:p>
      <w:pPr>
        <w:bidi w:val="0"/>
      </w:pPr>
    </w:p>
    <w:p>
      <w:pPr>
        <w:numPr>
          <w:ilvl w:val="0"/>
          <w:numId w:val="26"/>
        </w:numPr>
        <w:spacing w:line="360" w:lineRule="auto"/>
        <w:jc w:val="left"/>
        <w:rPr>
          <w:rFonts w:hAnsi="宋体" w:cs="宋体"/>
          <w:bCs/>
        </w:rPr>
      </w:pPr>
      <w:r>
        <w:rPr>
          <w:rFonts w:hint="eastAsia" w:ascii="宋体" w:hAnsi="宋体"/>
          <w:iCs/>
          <w:sz w:val="24"/>
          <w:lang w:val="en-US" w:eastAsia="zh-CN"/>
        </w:rPr>
        <w:t>投标（响应）时提交有效的营业执照或事业法人登记证等相关证明副本复印件。分支机构投标的，须提供总公司和分公司营业执照副本复印件，总公司出具给分支机构的授权书，分支机构可沿用总公司的各项资质材料证明</w:t>
      </w:r>
      <w:r>
        <w:rPr>
          <w:rFonts w:hint="eastAsia" w:ascii="宋体" w:hAnsi="宋体"/>
          <w:iCs/>
          <w:sz w:val="24"/>
        </w:rPr>
        <w:t>。</w:t>
      </w:r>
    </w:p>
    <w:p>
      <w:pPr>
        <w:spacing w:line="360" w:lineRule="auto"/>
        <w:jc w:val="left"/>
        <w:rPr>
          <w:rFonts w:ascii="宋体" w:hAnsi="宋体"/>
          <w:iCs/>
          <w:sz w:val="24"/>
          <w:lang w:val="hr-HR"/>
        </w:rPr>
      </w:pPr>
    </w:p>
    <w:p>
      <w:pPr>
        <w:pStyle w:val="15"/>
        <w:rPr>
          <w:rFonts w:cs="宋体"/>
          <w:sz w:val="24"/>
          <w:lang w:val="hr-HR"/>
        </w:rPr>
      </w:pPr>
      <w:r>
        <w:rPr>
          <w:rFonts w:hint="eastAsia" w:cs="宋体"/>
          <w:sz w:val="24"/>
          <w:lang w:val="hr-HR"/>
        </w:rPr>
        <w:t>注：以上材料均须加盖</w:t>
      </w:r>
      <w:r>
        <w:rPr>
          <w:rFonts w:hint="eastAsia" w:cs="宋体"/>
          <w:sz w:val="24"/>
          <w:lang w:val="hr-HR" w:eastAsia="zh-CN"/>
        </w:rPr>
        <w:t>供应商</w:t>
      </w:r>
      <w:r>
        <w:rPr>
          <w:rFonts w:hint="eastAsia" w:cs="宋体"/>
          <w:sz w:val="24"/>
          <w:lang w:val="hr-HR"/>
        </w:rPr>
        <w:t>公章。</w:t>
      </w:r>
    </w:p>
    <w:p/>
    <w:p>
      <w:pPr>
        <w:pStyle w:val="4"/>
        <w:pageBreakBefore/>
        <w:numPr>
          <w:ilvl w:val="0"/>
          <w:numId w:val="24"/>
        </w:numPr>
        <w:spacing w:afterLines="0"/>
        <w:rPr>
          <w:rFonts w:ascii="Times New Roman" w:hAnsi="Times New Roman"/>
          <w:color w:val="auto"/>
          <w:sz w:val="36"/>
          <w:szCs w:val="36"/>
        </w:rPr>
        <w:sectPr>
          <w:pgSz w:w="11906" w:h="16838"/>
          <w:pgMar w:top="1134" w:right="1134" w:bottom="1134" w:left="1587" w:header="567" w:footer="737" w:gutter="0"/>
          <w:pgNumType w:fmt="decimal"/>
          <w:cols w:space="720" w:num="1"/>
          <w:docGrid w:type="lines" w:linePitch="312" w:charSpace="0"/>
        </w:sectPr>
      </w:pPr>
    </w:p>
    <w:bookmarkEnd w:id="1359"/>
    <w:p>
      <w:pPr>
        <w:pStyle w:val="4"/>
        <w:pageBreakBefore/>
        <w:numPr>
          <w:ilvl w:val="0"/>
          <w:numId w:val="24"/>
        </w:numPr>
        <w:spacing w:afterLines="0"/>
        <w:rPr>
          <w:rFonts w:hint="eastAsia" w:ascii="Times New Roman" w:hAnsi="Times New Roman" w:eastAsia="宋体" w:cs="Times New Roman"/>
          <w:color w:val="auto"/>
          <w:sz w:val="36"/>
          <w:szCs w:val="36"/>
          <w:highlight w:val="none"/>
          <w:lang w:eastAsia="zh-CN"/>
        </w:rPr>
      </w:pPr>
      <w:r>
        <w:rPr>
          <w:rFonts w:hint="eastAsia" w:ascii="Times New Roman" w:hAnsi="Times New Roman" w:eastAsia="宋体" w:cs="Times New Roman"/>
          <w:color w:val="auto"/>
          <w:sz w:val="36"/>
          <w:szCs w:val="36"/>
          <w:highlight w:val="none"/>
          <w:lang w:eastAsia="zh-CN"/>
        </w:rPr>
        <w:t>政府采购供应商资格信用承诺函</w:t>
      </w:r>
    </w:p>
    <w:p>
      <w:pPr>
        <w:rPr>
          <w:rFonts w:hint="eastAsia" w:ascii="仿宋_GB2312" w:hAnsi="仿宋_GB2312" w:eastAsia="仿宋_GB2312" w:cs="仿宋_GB2312"/>
          <w:sz w:val="28"/>
          <w:szCs w:val="28"/>
          <w:highlight w:val="none"/>
          <w:lang w:eastAsia="zh-CN"/>
        </w:rPr>
      </w:pPr>
    </w:p>
    <w:p>
      <w:pPr>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致：</w:t>
      </w:r>
      <w:r>
        <w:rPr>
          <w:rFonts w:hint="eastAsia" w:ascii="宋体" w:hAnsi="宋体" w:cs="宋体"/>
          <w:sz w:val="24"/>
          <w:szCs w:val="24"/>
          <w:highlight w:val="none"/>
          <w:lang w:eastAsia="zh-CN"/>
        </w:rPr>
        <w:t>佛山市公安局</w:t>
      </w:r>
      <w:r>
        <w:rPr>
          <w:rFonts w:hint="eastAsia" w:ascii="宋体" w:hAnsi="宋体" w:eastAsia="宋体" w:cs="宋体"/>
          <w:sz w:val="24"/>
          <w:szCs w:val="24"/>
          <w:highlight w:val="none"/>
          <w:lang w:eastAsia="zh-CN"/>
        </w:rPr>
        <w:t>、</w:t>
      </w:r>
      <w:r>
        <w:rPr>
          <w:rFonts w:hint="eastAsia" w:ascii="宋体" w:hAnsi="宋体" w:cs="宋体"/>
          <w:sz w:val="24"/>
          <w:szCs w:val="24"/>
          <w:highlight w:val="none"/>
          <w:lang w:eastAsia="zh-CN"/>
        </w:rPr>
        <w:t>广东远东招标代理有限公司</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我方参与</w:t>
      </w:r>
      <w:r>
        <w:rPr>
          <w:rFonts w:hint="eastAsia" w:ascii="宋体" w:hAnsi="宋体" w:cs="宋体"/>
          <w:sz w:val="24"/>
          <w:szCs w:val="24"/>
          <w:highlight w:val="none"/>
          <w:u w:val="single"/>
          <w:lang w:eastAsia="zh-CN"/>
        </w:rPr>
        <w:t>佛山市公安局铺设电缆</w:t>
      </w:r>
      <w:r>
        <w:rPr>
          <w:rFonts w:hint="eastAsia" w:ascii="宋体" w:hAnsi="宋体" w:eastAsia="宋体" w:cs="宋体"/>
          <w:sz w:val="24"/>
          <w:szCs w:val="24"/>
          <w:highlight w:val="none"/>
          <w:u w:val="single"/>
          <w:lang w:eastAsia="zh-CN"/>
        </w:rPr>
        <w:t>（</w:t>
      </w:r>
      <w:r>
        <w:rPr>
          <w:rFonts w:hint="eastAsia" w:ascii="宋体" w:hAnsi="宋体" w:cs="宋体"/>
          <w:sz w:val="24"/>
          <w:szCs w:val="24"/>
          <w:highlight w:val="none"/>
          <w:u w:val="single"/>
          <w:lang w:eastAsia="zh-CN"/>
        </w:rPr>
        <w:t>项目编号：fsganb202404005</w:t>
      </w:r>
      <w:r>
        <w:rPr>
          <w:rFonts w:hint="eastAsia" w:ascii="宋体" w:hAnsi="宋体" w:eastAsia="宋体" w:cs="宋体"/>
          <w:sz w:val="24"/>
          <w:szCs w:val="24"/>
          <w:highlight w:val="none"/>
          <w:u w:val="single"/>
          <w:lang w:eastAsia="zh-CN"/>
        </w:rPr>
        <w:t>）</w:t>
      </w:r>
      <w:r>
        <w:rPr>
          <w:rFonts w:hint="eastAsia" w:ascii="宋体" w:hAnsi="宋体" w:eastAsia="宋体" w:cs="宋体"/>
          <w:sz w:val="24"/>
          <w:szCs w:val="24"/>
          <w:highlight w:val="none"/>
          <w:lang w:eastAsia="zh-CN"/>
        </w:rPr>
        <w:t>的政府采购活动，现承诺如下：</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我方具有符合《中华人民共和国政府采购法》《中华人民共和国政府采购法实施条例》及采购文件资格要求规定良好的商业信誉和健全的财务会计制度；依法缴纳税收和社会保障资金；履行合同所必需的设备和专业技术能力；参加本项目政府采购活动前三年内，在经营活动中没有重大违法记录；具备法律、行政法规规定的其他条件；单位负责人与所参投的本采购项目的其他投标人的单位负责人不为同一人且与其他投标人之间不存在直接控股、管理关系；未曾为本项目提供过整体设计、规范编制或者项目管理、监理、检测等服务</w:t>
      </w:r>
      <w:r>
        <w:rPr>
          <w:rFonts w:hint="eastAsia" w:ascii="宋体" w:hAnsi="宋体" w:cs="宋体"/>
          <w:sz w:val="24"/>
          <w:szCs w:val="24"/>
          <w:highlight w:val="none"/>
          <w:lang w:eastAsia="zh-CN"/>
        </w:rPr>
        <w:t>；非联合体投标。</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若我方以上承诺不实，自愿承担提供虚假材料谋取中标、成交的法律责任。</w:t>
      </w:r>
    </w:p>
    <w:p>
      <w:pPr>
        <w:spacing w:line="360" w:lineRule="auto"/>
        <w:ind w:firstLine="480" w:firstLineChars="200"/>
        <w:rPr>
          <w:rFonts w:hint="eastAsia" w:ascii="宋体" w:hAnsi="宋体" w:eastAsia="宋体" w:cs="宋体"/>
          <w:sz w:val="24"/>
          <w:szCs w:val="24"/>
          <w:highlight w:val="none"/>
          <w:lang w:eastAsia="zh-CN"/>
        </w:rPr>
      </w:pPr>
    </w:p>
    <w:p>
      <w:pPr>
        <w:spacing w:line="360" w:lineRule="auto"/>
        <w:ind w:firstLine="960" w:firstLineChars="40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lang w:eastAsia="zh-CN"/>
        </w:rPr>
        <w:t>承诺供应商（全称并加盖公章）：</w:t>
      </w:r>
      <w:r>
        <w:rPr>
          <w:rFonts w:hint="eastAsia" w:ascii="宋体" w:hAnsi="宋体" w:eastAsia="宋体" w:cs="宋体"/>
          <w:sz w:val="24"/>
          <w:szCs w:val="24"/>
          <w:highlight w:val="none"/>
          <w:u w:val="single"/>
          <w:lang w:val="en-US" w:eastAsia="zh-CN"/>
        </w:rPr>
        <w:t xml:space="preserve">               </w:t>
      </w:r>
    </w:p>
    <w:p>
      <w:pPr>
        <w:spacing w:line="360" w:lineRule="auto"/>
        <w:ind w:firstLine="960" w:firstLineChars="40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lang w:eastAsia="zh-CN"/>
        </w:rPr>
        <w:t>日期：</w:t>
      </w:r>
      <w:r>
        <w:rPr>
          <w:rFonts w:hint="eastAsia" w:ascii="宋体" w:hAnsi="宋体" w:eastAsia="宋体" w:cs="宋体"/>
          <w:sz w:val="24"/>
          <w:szCs w:val="24"/>
          <w:highlight w:val="none"/>
          <w:u w:val="single"/>
          <w:lang w:val="en-US" w:eastAsia="zh-CN"/>
        </w:rPr>
        <w:t xml:space="preserve">                                      </w:t>
      </w:r>
    </w:p>
    <w:p>
      <w:pPr>
        <w:rPr>
          <w:rFonts w:hint="eastAsia" w:ascii="宋体" w:hAnsi="宋体" w:eastAsia="宋体" w:cs="宋体"/>
          <w:sz w:val="28"/>
          <w:szCs w:val="28"/>
          <w:highlight w:val="none"/>
          <w:u w:val="none"/>
          <w:lang w:val="en-US" w:eastAsia="zh-CN"/>
        </w:rPr>
      </w:pPr>
    </w:p>
    <w:p>
      <w:pPr>
        <w:tabs>
          <w:tab w:val="left" w:pos="-3780"/>
        </w:tabs>
        <w:ind w:left="420" w:leftChars="200"/>
        <w:rPr>
          <w:rFonts w:cs="宋体"/>
          <w:sz w:val="24"/>
        </w:rPr>
      </w:pPr>
      <w:r>
        <w:rPr>
          <w:rFonts w:hint="eastAsia" w:ascii="宋体" w:hAnsi="宋体" w:eastAsia="宋体" w:cs="宋体"/>
          <w:b/>
          <w:bCs/>
          <w:sz w:val="24"/>
          <w:szCs w:val="24"/>
          <w:highlight w:val="none"/>
          <w:u w:val="none"/>
          <w:lang w:val="en-US" w:eastAsia="zh-CN"/>
        </w:rPr>
        <w:t>说明：供应商可自行选择是否提供本承诺函，若不提供本承诺函，应按</w:t>
      </w:r>
      <w:r>
        <w:rPr>
          <w:rFonts w:hint="eastAsia" w:ascii="宋体" w:hAnsi="宋体" w:eastAsia="宋体" w:cs="宋体"/>
          <w:b/>
          <w:bCs/>
          <w:sz w:val="24"/>
          <w:szCs w:val="24"/>
          <w:highlight w:val="none"/>
          <w:lang w:eastAsia="zh-CN"/>
        </w:rPr>
        <w:t>《中华人民共和国政府采购法》《中华人民共和国政府采购法实施条例》及采购文件资格要求提供相应的证明材料。</w:t>
      </w:r>
    </w:p>
    <w:p>
      <w:pPr>
        <w:pStyle w:val="4"/>
        <w:pageBreakBefore/>
        <w:numPr>
          <w:ilvl w:val="0"/>
          <w:numId w:val="24"/>
        </w:numPr>
        <w:spacing w:afterLines="0"/>
        <w:ind w:left="414"/>
        <w:rPr>
          <w:rFonts w:cs="宋体"/>
          <w:sz w:val="24"/>
        </w:rPr>
        <w:sectPr>
          <w:pgSz w:w="11906" w:h="16838"/>
          <w:pgMar w:top="1134" w:right="1134" w:bottom="1134" w:left="1587" w:header="567" w:footer="737" w:gutter="0"/>
          <w:pgNumType w:fmt="decimal"/>
          <w:cols w:space="720" w:num="1"/>
          <w:docGrid w:type="lines" w:linePitch="312" w:charSpace="0"/>
        </w:sectPr>
      </w:pPr>
    </w:p>
    <w:p>
      <w:pPr>
        <w:pStyle w:val="4"/>
        <w:pageBreakBefore/>
        <w:numPr>
          <w:ilvl w:val="0"/>
          <w:numId w:val="0"/>
        </w:numPr>
        <w:spacing w:afterLines="0"/>
        <w:jc w:val="center"/>
        <w:rPr>
          <w:rFonts w:hint="eastAsia" w:ascii="Times New Roman" w:hAnsi="Times New Roman" w:eastAsia="宋体" w:cs="Times New Roman"/>
          <w:color w:val="auto"/>
          <w:sz w:val="36"/>
          <w:szCs w:val="36"/>
          <w:lang w:eastAsia="zh-CN"/>
        </w:rPr>
      </w:pPr>
      <w:bookmarkStart w:id="1367" w:name="_Toc30711"/>
      <w:bookmarkStart w:id="1368" w:name="_Toc6761"/>
      <w:bookmarkStart w:id="1369" w:name="_Toc6192"/>
      <w:bookmarkStart w:id="1370" w:name="_Toc6619"/>
      <w:bookmarkStart w:id="1371" w:name="_Toc8977"/>
      <w:bookmarkStart w:id="1372" w:name="_Toc14170"/>
      <w:bookmarkStart w:id="1373" w:name="_Toc438547164"/>
      <w:bookmarkStart w:id="1374" w:name="_Toc269"/>
      <w:r>
        <w:rPr>
          <w:rFonts w:hint="eastAsia" w:ascii="Times New Roman" w:hAnsi="Times New Roman" w:cs="Times New Roman"/>
          <w:color w:val="auto"/>
          <w:sz w:val="36"/>
          <w:szCs w:val="36"/>
          <w:lang w:val="en-US" w:eastAsia="zh-CN"/>
        </w:rPr>
        <w:t xml:space="preserve">1.6 </w:t>
      </w:r>
      <w:r>
        <w:rPr>
          <w:rFonts w:hint="eastAsia" w:ascii="Times New Roman" w:hAnsi="Times New Roman" w:eastAsia="宋体" w:cs="Times New Roman"/>
          <w:color w:val="auto"/>
          <w:sz w:val="36"/>
          <w:szCs w:val="36"/>
        </w:rPr>
        <w:t>中小企业声明函</w:t>
      </w:r>
      <w:r>
        <w:rPr>
          <w:rFonts w:hint="eastAsia" w:ascii="Times New Roman" w:hAnsi="Times New Roman" w:cs="Times New Roman"/>
          <w:color w:val="auto"/>
          <w:sz w:val="36"/>
          <w:szCs w:val="36"/>
          <w:lang w:eastAsia="zh-CN"/>
        </w:rPr>
        <w:t>（工程）</w:t>
      </w:r>
      <w:bookmarkEnd w:id="1367"/>
    </w:p>
    <w:p>
      <w:pPr>
        <w:jc w:val="left"/>
        <w:rPr>
          <w:rFonts w:ascii="宋体" w:hAnsi="宋体" w:cs="宋体"/>
          <w:sz w:val="24"/>
        </w:rPr>
      </w:pPr>
    </w:p>
    <w:p>
      <w:pPr>
        <w:jc w:val="left"/>
        <w:rPr>
          <w:rFonts w:ascii="宋体" w:hAnsi="宋体" w:cs="宋体"/>
          <w:sz w:val="24"/>
        </w:rPr>
      </w:pPr>
    </w:p>
    <w:p>
      <w:pPr>
        <w:spacing w:line="360" w:lineRule="auto"/>
        <w:ind w:firstLine="480"/>
        <w:rPr>
          <w:rFonts w:hAnsi="宋体" w:cs="宋体"/>
          <w:sz w:val="24"/>
        </w:rPr>
      </w:pPr>
      <w:r>
        <w:rPr>
          <w:rFonts w:hint="eastAsia" w:hAnsi="宋体" w:cs="宋体"/>
          <w:sz w:val="24"/>
          <w:shd w:val="clear" w:color="auto" w:fill="FFFFFF"/>
        </w:rPr>
        <w:t>本公司郑重声明，根据《政府采购促进中小企业发展管理行办法》（财库〔2020〕46号）的规定，本公司参加</w:t>
      </w:r>
      <w:r>
        <w:rPr>
          <w:rFonts w:hint="eastAsia" w:hAnsi="宋体" w:cs="宋体"/>
          <w:sz w:val="24"/>
          <w:u w:val="single"/>
          <w:shd w:val="clear" w:color="auto" w:fill="FFFFFF"/>
          <w:lang w:eastAsia="zh-CN"/>
        </w:rPr>
        <w:t>佛山市公安局</w:t>
      </w:r>
      <w:r>
        <w:rPr>
          <w:rFonts w:hint="eastAsia" w:hAnsi="宋体" w:cs="宋体"/>
          <w:sz w:val="24"/>
          <w:shd w:val="clear" w:color="auto" w:fill="FFFFFF"/>
        </w:rPr>
        <w:t>的</w:t>
      </w:r>
      <w:r>
        <w:rPr>
          <w:rFonts w:hint="eastAsia" w:hAnsi="宋体" w:cs="宋体"/>
          <w:sz w:val="24"/>
          <w:u w:val="single"/>
          <w:shd w:val="clear" w:color="auto" w:fill="FFFFFF"/>
          <w:lang w:eastAsia="zh-CN"/>
        </w:rPr>
        <w:t>佛山市公安局铺设电缆</w:t>
      </w:r>
      <w:r>
        <w:rPr>
          <w:rFonts w:hint="eastAsia" w:hAnsi="宋体" w:cs="宋体"/>
          <w:sz w:val="24"/>
        </w:rPr>
        <w:t>采购活动，工程的施工单位全部为符合政策要求的中小企业。相关企业（含联合体中的中小企业、签订分包意向协议的中小企业）的具体情况如下：</w:t>
      </w:r>
    </w:p>
    <w:p>
      <w:pPr>
        <w:pStyle w:val="15"/>
        <w:spacing w:line="360" w:lineRule="auto"/>
        <w:ind w:firstLine="480" w:firstLineChars="200"/>
        <w:rPr>
          <w:rFonts w:cs="宋体"/>
          <w:sz w:val="24"/>
        </w:rPr>
      </w:pPr>
      <w:r>
        <w:rPr>
          <w:rFonts w:hint="eastAsia" w:cs="宋体"/>
          <w:sz w:val="24"/>
        </w:rPr>
        <w:t>1.</w:t>
      </w:r>
      <w:r>
        <w:rPr>
          <w:rFonts w:hint="eastAsia" w:cs="宋体"/>
          <w:sz w:val="24"/>
          <w:u w:val="single"/>
          <w:shd w:val="clear" w:color="auto" w:fill="FFFFFF"/>
          <w:lang w:eastAsia="zh-CN"/>
        </w:rPr>
        <w:t>佛山市公安局铺设电缆</w:t>
      </w:r>
      <w:r>
        <w:rPr>
          <w:rFonts w:hint="eastAsia" w:cs="宋体"/>
          <w:sz w:val="24"/>
        </w:rPr>
        <w:t>，属于</w:t>
      </w:r>
      <w:r>
        <w:rPr>
          <w:rFonts w:hint="eastAsia" w:cs="宋体"/>
          <w:sz w:val="24"/>
          <w:u w:val="single"/>
        </w:rPr>
        <w:t xml:space="preserve"> </w:t>
      </w:r>
      <w:r>
        <w:rPr>
          <w:rFonts w:hint="eastAsia" w:cs="宋体"/>
          <w:sz w:val="24"/>
          <w:u w:val="single"/>
          <w:lang w:eastAsia="zh-CN"/>
        </w:rPr>
        <w:t>建筑</w:t>
      </w:r>
      <w:r>
        <w:rPr>
          <w:rFonts w:hint="eastAsia" w:cs="宋体"/>
          <w:sz w:val="24"/>
          <w:u w:val="single"/>
        </w:rPr>
        <w:t xml:space="preserve">业 </w:t>
      </w:r>
      <w:r>
        <w:rPr>
          <w:rFonts w:hint="eastAsia" w:cs="宋体"/>
          <w:sz w:val="24"/>
        </w:rPr>
        <w:t>；承接企业为</w:t>
      </w:r>
      <w:r>
        <w:rPr>
          <w:rFonts w:hint="eastAsia" w:cs="宋体"/>
          <w:sz w:val="24"/>
          <w:u w:val="single"/>
        </w:rPr>
        <w:t>（企业名称）</w:t>
      </w:r>
      <w:r>
        <w:rPr>
          <w:rFonts w:hint="eastAsia" w:cs="宋体"/>
          <w:sz w:val="24"/>
        </w:rPr>
        <w:t>，从业人员</w:t>
      </w:r>
      <w:r>
        <w:rPr>
          <w:rFonts w:hint="eastAsia" w:cs="宋体"/>
          <w:sz w:val="24"/>
          <w:u w:val="single"/>
          <w:lang w:val="en-US" w:eastAsia="zh-CN"/>
        </w:rPr>
        <w:t xml:space="preserve">     </w:t>
      </w:r>
      <w:r>
        <w:rPr>
          <w:rFonts w:hint="eastAsia" w:cs="宋体"/>
          <w:sz w:val="24"/>
        </w:rPr>
        <w:t>人，营业收入为</w:t>
      </w:r>
      <w:r>
        <w:rPr>
          <w:rFonts w:hint="eastAsia" w:cs="宋体"/>
          <w:sz w:val="24"/>
          <w:u w:val="single"/>
          <w:lang w:val="en-US" w:eastAsia="zh-CN"/>
        </w:rPr>
        <w:t xml:space="preserve">     </w:t>
      </w:r>
      <w:r>
        <w:rPr>
          <w:rFonts w:hint="eastAsia" w:cs="宋体"/>
          <w:sz w:val="24"/>
        </w:rPr>
        <w:t>万元，资产总额为</w:t>
      </w:r>
      <w:r>
        <w:rPr>
          <w:rFonts w:hint="eastAsia" w:cs="宋体"/>
          <w:sz w:val="24"/>
          <w:u w:val="single"/>
          <w:lang w:val="en-US" w:eastAsia="zh-CN"/>
        </w:rPr>
        <w:t xml:space="preserve">     </w:t>
      </w:r>
      <w:r>
        <w:rPr>
          <w:rFonts w:hint="eastAsia" w:cs="宋体"/>
          <w:sz w:val="24"/>
        </w:rPr>
        <w:t>万元，属于</w:t>
      </w:r>
      <w:r>
        <w:rPr>
          <w:rFonts w:hint="eastAsia" w:cs="宋体"/>
          <w:sz w:val="24"/>
          <w:u w:val="single"/>
        </w:rPr>
        <w:t>(中型企业、小型企业、微型企业）</w:t>
      </w:r>
      <w:r>
        <w:rPr>
          <w:rFonts w:hint="eastAsia" w:cs="宋体"/>
          <w:sz w:val="24"/>
        </w:rPr>
        <w:t>；</w:t>
      </w:r>
    </w:p>
    <w:p>
      <w:pPr>
        <w:pStyle w:val="15"/>
        <w:spacing w:line="360" w:lineRule="auto"/>
        <w:ind w:firstLine="480" w:firstLineChars="200"/>
        <w:rPr>
          <w:rFonts w:cs="宋体"/>
          <w:sz w:val="24"/>
        </w:rPr>
      </w:pPr>
      <w:r>
        <w:rPr>
          <w:rFonts w:hint="eastAsia" w:cs="宋体"/>
          <w:sz w:val="24"/>
        </w:rPr>
        <w:t>2.</w:t>
      </w:r>
      <w:r>
        <w:rPr>
          <w:rFonts w:hint="eastAsia" w:cs="宋体"/>
          <w:sz w:val="24"/>
          <w:u w:val="single"/>
          <w:shd w:val="clear" w:color="auto" w:fill="FFFFFF"/>
          <w:lang w:eastAsia="zh-CN"/>
        </w:rPr>
        <w:t>（</w:t>
      </w:r>
      <w:r>
        <w:rPr>
          <w:rFonts w:hint="eastAsia" w:cs="宋体"/>
          <w:sz w:val="24"/>
          <w:u w:val="single"/>
          <w:shd w:val="clear" w:color="auto" w:fill="FFFFFF"/>
          <w:lang w:val="en-US" w:eastAsia="zh-CN"/>
        </w:rPr>
        <w:t>标的名称）</w:t>
      </w:r>
      <w:r>
        <w:rPr>
          <w:rFonts w:hint="eastAsia" w:cs="宋体"/>
          <w:sz w:val="24"/>
        </w:rPr>
        <w:t>，属于</w:t>
      </w:r>
      <w:r>
        <w:rPr>
          <w:rFonts w:hint="eastAsia" w:cs="宋体"/>
          <w:sz w:val="24"/>
          <w:u w:val="single"/>
        </w:rPr>
        <w:t xml:space="preserve"> </w:t>
      </w:r>
      <w:r>
        <w:rPr>
          <w:rFonts w:hint="eastAsia" w:cs="宋体"/>
          <w:sz w:val="24"/>
          <w:u w:val="single"/>
          <w:lang w:eastAsia="zh-CN"/>
        </w:rPr>
        <w:t>（</w:t>
      </w:r>
      <w:r>
        <w:rPr>
          <w:rFonts w:hint="eastAsia" w:cs="宋体"/>
          <w:sz w:val="24"/>
          <w:u w:val="single"/>
          <w:lang w:val="en-US" w:eastAsia="zh-CN"/>
        </w:rPr>
        <w:t>按磋商文件中所属行业填写</w:t>
      </w:r>
      <w:r>
        <w:rPr>
          <w:rFonts w:hint="eastAsia" w:cs="宋体"/>
          <w:sz w:val="24"/>
          <w:u w:val="single"/>
          <w:lang w:eastAsia="zh-CN"/>
        </w:rPr>
        <w:t>）</w:t>
      </w:r>
      <w:r>
        <w:rPr>
          <w:rFonts w:hint="eastAsia" w:cs="宋体"/>
          <w:sz w:val="24"/>
          <w:u w:val="single"/>
        </w:rPr>
        <w:t xml:space="preserve"> </w:t>
      </w:r>
      <w:r>
        <w:rPr>
          <w:rFonts w:hint="eastAsia" w:cs="宋体"/>
          <w:sz w:val="24"/>
        </w:rPr>
        <w:t>；承接企业为</w:t>
      </w:r>
      <w:r>
        <w:rPr>
          <w:rFonts w:hint="eastAsia" w:cs="宋体"/>
          <w:sz w:val="24"/>
          <w:u w:val="single"/>
        </w:rPr>
        <w:t>（企业名称）</w:t>
      </w:r>
      <w:r>
        <w:rPr>
          <w:rFonts w:hint="eastAsia" w:cs="宋体"/>
          <w:sz w:val="24"/>
        </w:rPr>
        <w:t>，从业人员</w:t>
      </w:r>
      <w:r>
        <w:rPr>
          <w:rFonts w:hint="eastAsia" w:cs="宋体"/>
          <w:sz w:val="24"/>
          <w:u w:val="single"/>
          <w:lang w:val="en-US" w:eastAsia="zh-CN"/>
        </w:rPr>
        <w:t xml:space="preserve">   </w:t>
      </w:r>
      <w:r>
        <w:rPr>
          <w:rFonts w:hint="eastAsia" w:cs="宋体"/>
          <w:sz w:val="24"/>
        </w:rPr>
        <w:t>人，营业收入为</w:t>
      </w:r>
      <w:r>
        <w:rPr>
          <w:rFonts w:hint="eastAsia" w:cs="宋体"/>
          <w:sz w:val="24"/>
          <w:u w:val="single"/>
          <w:lang w:val="en-US" w:eastAsia="zh-CN"/>
        </w:rPr>
        <w:t xml:space="preserve">    万</w:t>
      </w:r>
      <w:r>
        <w:rPr>
          <w:rFonts w:hint="eastAsia" w:cs="宋体"/>
          <w:sz w:val="24"/>
        </w:rPr>
        <w:t>元，资产总额为</w:t>
      </w:r>
      <w:r>
        <w:rPr>
          <w:rFonts w:hint="eastAsia" w:cs="宋体"/>
          <w:sz w:val="24"/>
          <w:u w:val="single"/>
          <w:lang w:val="en-US" w:eastAsia="zh-CN"/>
        </w:rPr>
        <w:t xml:space="preserve">   </w:t>
      </w:r>
      <w:r>
        <w:rPr>
          <w:rFonts w:hint="eastAsia" w:cs="宋体"/>
          <w:sz w:val="24"/>
        </w:rPr>
        <w:t>万元，属于</w:t>
      </w:r>
      <w:r>
        <w:rPr>
          <w:rFonts w:hint="eastAsia" w:cs="宋体"/>
          <w:sz w:val="24"/>
          <w:u w:val="single"/>
        </w:rPr>
        <w:t>(中型企业、小型企业、微型企业）</w:t>
      </w:r>
      <w:r>
        <w:rPr>
          <w:rFonts w:hint="eastAsia" w:cs="宋体"/>
          <w:sz w:val="24"/>
        </w:rPr>
        <w:t>；</w:t>
      </w:r>
    </w:p>
    <w:p>
      <w:pPr>
        <w:pStyle w:val="15"/>
        <w:spacing w:line="360" w:lineRule="auto"/>
        <w:ind w:firstLine="480" w:firstLineChars="200"/>
        <w:rPr>
          <w:rFonts w:cs="宋体"/>
          <w:sz w:val="24"/>
        </w:rPr>
      </w:pPr>
      <w:r>
        <w:rPr>
          <w:rFonts w:hint="eastAsia" w:cs="宋体"/>
          <w:sz w:val="24"/>
        </w:rPr>
        <w:t>......</w:t>
      </w:r>
    </w:p>
    <w:p>
      <w:pPr>
        <w:pStyle w:val="15"/>
        <w:spacing w:line="360" w:lineRule="auto"/>
        <w:ind w:firstLine="480" w:firstLineChars="200"/>
        <w:rPr>
          <w:rFonts w:cs="宋体"/>
          <w:sz w:val="24"/>
        </w:rPr>
      </w:pPr>
      <w:r>
        <w:rPr>
          <w:rFonts w:hint="eastAsia" w:cs="宋体"/>
          <w:sz w:val="24"/>
        </w:rPr>
        <w:t>以上企业，不属于大企业的分支机构，不存在控股股东为大企业的情形，也不存在与大企业负责人为同一人的情形。</w:t>
      </w:r>
    </w:p>
    <w:p>
      <w:pPr>
        <w:pStyle w:val="15"/>
        <w:spacing w:line="360" w:lineRule="auto"/>
        <w:ind w:firstLine="480" w:firstLineChars="200"/>
        <w:rPr>
          <w:rFonts w:cs="宋体"/>
          <w:sz w:val="24"/>
        </w:rPr>
      </w:pPr>
      <w:r>
        <w:rPr>
          <w:rFonts w:hint="eastAsia" w:cs="宋体"/>
          <w:sz w:val="24"/>
        </w:rPr>
        <w:t>本企业对上述声明函的真实性负责。如有虚假，将依法承担相应责任。</w:t>
      </w:r>
    </w:p>
    <w:p>
      <w:pPr>
        <w:tabs>
          <w:tab w:val="left" w:pos="-3780"/>
        </w:tabs>
        <w:spacing w:line="360" w:lineRule="auto"/>
        <w:ind w:firstLine="482" w:firstLineChars="200"/>
        <w:rPr>
          <w:rFonts w:hAnsi="宋体" w:cs="宋体"/>
          <w:b/>
          <w:sz w:val="24"/>
        </w:rPr>
      </w:pPr>
    </w:p>
    <w:p>
      <w:pPr>
        <w:tabs>
          <w:tab w:val="left" w:pos="-3780"/>
        </w:tabs>
        <w:spacing w:line="360" w:lineRule="auto"/>
        <w:ind w:firstLine="480" w:firstLineChars="200"/>
        <w:jc w:val="right"/>
        <w:rPr>
          <w:rFonts w:hAnsi="宋体" w:cs="宋体"/>
          <w:b w:val="0"/>
          <w:bCs/>
          <w:sz w:val="24"/>
        </w:rPr>
      </w:pPr>
      <w:r>
        <w:rPr>
          <w:rFonts w:hint="eastAsia" w:hAnsi="宋体" w:cs="宋体"/>
          <w:b w:val="0"/>
          <w:bCs/>
          <w:sz w:val="24"/>
        </w:rPr>
        <w:t>供应商：</w:t>
      </w:r>
      <w:r>
        <w:rPr>
          <w:rFonts w:hint="eastAsia" w:hAnsi="宋体" w:cs="宋体"/>
          <w:b w:val="0"/>
          <w:bCs/>
          <w:sz w:val="24"/>
          <w:u w:val="single"/>
        </w:rPr>
        <w:t xml:space="preserve">         （公司名称）          </w:t>
      </w:r>
      <w:r>
        <w:rPr>
          <w:rFonts w:hint="eastAsia" w:hAnsi="宋体" w:cs="宋体"/>
          <w:b w:val="0"/>
          <w:bCs/>
          <w:sz w:val="24"/>
        </w:rPr>
        <w:t>（公章）</w:t>
      </w:r>
    </w:p>
    <w:p>
      <w:pPr>
        <w:spacing w:line="360" w:lineRule="auto"/>
        <w:ind w:firstLine="480"/>
        <w:jc w:val="right"/>
        <w:rPr>
          <w:rFonts w:hAnsi="宋体" w:cs="宋体"/>
          <w:b w:val="0"/>
          <w:bCs/>
          <w:sz w:val="24"/>
        </w:rPr>
      </w:pPr>
      <w:r>
        <w:rPr>
          <w:rFonts w:hint="eastAsia" w:hAnsi="宋体" w:cs="宋体"/>
          <w:b w:val="0"/>
          <w:bCs/>
          <w:sz w:val="24"/>
        </w:rPr>
        <w:t>日期：    年    月    日</w:t>
      </w:r>
    </w:p>
    <w:p>
      <w:pPr>
        <w:spacing w:line="360" w:lineRule="auto"/>
        <w:rPr>
          <w:rFonts w:ascii="宋体" w:hAnsi="宋体" w:cs="宋体"/>
          <w:sz w:val="24"/>
        </w:rPr>
      </w:pPr>
    </w:p>
    <w:p>
      <w:pPr>
        <w:rPr>
          <w:rFonts w:hint="eastAsia" w:ascii="宋体" w:hAnsi="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1"/>
          <w:szCs w:val="21"/>
        </w:rPr>
      </w:pPr>
      <w:r>
        <w:rPr>
          <w:rFonts w:hint="eastAsia" w:ascii="宋体" w:hAnsi="宋体" w:cs="宋体"/>
          <w:sz w:val="21"/>
          <w:szCs w:val="21"/>
        </w:rPr>
        <w:t>注：</w:t>
      </w:r>
      <w:r>
        <w:rPr>
          <w:rFonts w:hint="eastAsia" w:ascii="宋体" w:hAnsi="宋体" w:cs="宋体"/>
          <w:sz w:val="21"/>
          <w:szCs w:val="21"/>
          <w:lang w:val="en-US" w:eastAsia="zh-CN"/>
        </w:rPr>
        <w:t>1.</w:t>
      </w:r>
      <w:r>
        <w:rPr>
          <w:rFonts w:hint="eastAsia" w:ascii="宋体" w:hAnsi="宋体" w:cs="宋体"/>
          <w:sz w:val="21"/>
          <w:szCs w:val="21"/>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1"/>
          <w:szCs w:val="21"/>
        </w:rPr>
      </w:pPr>
      <w:r>
        <w:rPr>
          <w:rFonts w:hint="eastAsia" w:ascii="宋体" w:hAnsi="宋体" w:cs="宋体"/>
          <w:sz w:val="21"/>
          <w:szCs w:val="21"/>
        </w:rPr>
        <w:t>2</w:t>
      </w:r>
      <w:r>
        <w:rPr>
          <w:rFonts w:hint="eastAsia" w:ascii="宋体" w:hAnsi="宋体" w:cs="宋体"/>
          <w:sz w:val="21"/>
          <w:szCs w:val="21"/>
          <w:lang w:eastAsia="zh-CN"/>
        </w:rPr>
        <w:t>.</w:t>
      </w:r>
      <w:r>
        <w:rPr>
          <w:rFonts w:hint="eastAsia" w:ascii="宋体" w:hAnsi="宋体" w:cs="宋体"/>
          <w:sz w:val="21"/>
          <w:szCs w:val="21"/>
        </w:rPr>
        <w:t>供应商应当自行核实是否属于小微企业，并认真填写声明函，若有虚假将追究其责任。</w:t>
      </w:r>
    </w:p>
    <w:p>
      <w:pPr>
        <w:pageBreakBefore/>
        <w:jc w:val="center"/>
        <w:rPr>
          <w:rFonts w:hAnsi="宋体" w:cs="宋体"/>
          <w:b/>
          <w:bCs/>
          <w:sz w:val="36"/>
        </w:rPr>
      </w:pPr>
      <w:r>
        <w:rPr>
          <w:rFonts w:hint="eastAsia" w:hAnsi="宋体" w:cs="宋体"/>
          <w:b/>
          <w:bCs/>
          <w:sz w:val="36"/>
        </w:rPr>
        <w:t>残疾人福利性单位声明函（如有）</w:t>
      </w:r>
    </w:p>
    <w:p>
      <w:pPr>
        <w:jc w:val="center"/>
        <w:rPr>
          <w:rFonts w:hAnsi="宋体" w:cs="宋体"/>
          <w:b/>
          <w:bCs/>
          <w:sz w:val="36"/>
        </w:rPr>
      </w:pPr>
    </w:p>
    <w:p>
      <w:pPr>
        <w:spacing w:line="360" w:lineRule="auto"/>
        <w:ind w:firstLine="420" w:firstLineChars="200"/>
        <w:jc w:val="left"/>
        <w:rPr>
          <w:rFonts w:hint="eastAsia" w:hAnsi="宋体" w:cs="宋体"/>
        </w:rPr>
      </w:pPr>
      <w:r>
        <w:rPr>
          <w:rFonts w:hint="eastAsia" w:hAnsi="宋体" w:cs="宋体"/>
        </w:rPr>
        <w:t>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jc w:val="left"/>
        <w:rPr>
          <w:rFonts w:hAnsi="宋体" w:cs="宋体"/>
        </w:rPr>
      </w:pPr>
      <w:r>
        <w:rPr>
          <w:rFonts w:hint="eastAsia" w:hAnsi="宋体" w:cs="宋体"/>
        </w:rPr>
        <w:t>本单位对上述声明的真实性负责。如有虚假，将依法承担相应责任。</w:t>
      </w:r>
    </w:p>
    <w:p>
      <w:pPr>
        <w:jc w:val="center"/>
        <w:rPr>
          <w:rFonts w:hAnsi="宋体" w:cs="宋体"/>
        </w:rPr>
      </w:pPr>
    </w:p>
    <w:p>
      <w:pPr>
        <w:jc w:val="center"/>
        <w:rPr>
          <w:rFonts w:hAnsi="宋体" w:cs="宋体"/>
        </w:rPr>
      </w:pPr>
    </w:p>
    <w:p>
      <w:pPr>
        <w:jc w:val="center"/>
        <w:rPr>
          <w:rFonts w:hAnsi="宋体" w:cs="宋体"/>
        </w:rPr>
      </w:pPr>
      <w:r>
        <w:rPr>
          <w:rFonts w:hint="eastAsia" w:hAnsi="宋体" w:cs="宋体"/>
          <w:lang w:eastAsia="zh-CN"/>
        </w:rPr>
        <w:t>供应商</w:t>
      </w:r>
      <w:r>
        <w:rPr>
          <w:rFonts w:hint="eastAsia" w:hAnsi="宋体" w:cs="宋体"/>
        </w:rPr>
        <w:t>名称（单位盖公章）：</w:t>
      </w:r>
    </w:p>
    <w:p>
      <w:pPr>
        <w:jc w:val="center"/>
        <w:rPr>
          <w:rFonts w:hAnsi="宋体" w:cs="宋体"/>
          <w:u w:val="single"/>
        </w:rPr>
      </w:pPr>
      <w:r>
        <w:rPr>
          <w:rFonts w:hint="eastAsia" w:hAnsi="宋体" w:cs="宋体"/>
        </w:rPr>
        <w:t xml:space="preserve">                   日 期：</w:t>
      </w:r>
    </w:p>
    <w:p>
      <w:pPr>
        <w:jc w:val="center"/>
        <w:rPr>
          <w:rFonts w:hAnsi="宋体" w:cs="宋体"/>
          <w:sz w:val="28"/>
          <w:szCs w:val="28"/>
        </w:rPr>
      </w:pPr>
    </w:p>
    <w:p>
      <w:pPr>
        <w:jc w:val="center"/>
        <w:rPr>
          <w:rFonts w:hAnsi="宋体" w:cs="宋体"/>
          <w:sz w:val="28"/>
          <w:szCs w:val="28"/>
        </w:rPr>
      </w:pPr>
    </w:p>
    <w:p>
      <w:pPr>
        <w:spacing w:line="300" w:lineRule="auto"/>
        <w:jc w:val="left"/>
        <w:rPr>
          <w:rFonts w:hAnsi="宋体" w:cs="宋体"/>
        </w:rPr>
      </w:pPr>
    </w:p>
    <w:p>
      <w:pPr>
        <w:spacing w:line="300" w:lineRule="auto"/>
        <w:jc w:val="left"/>
        <w:rPr>
          <w:rFonts w:hAnsi="宋体" w:cs="宋体"/>
        </w:rPr>
      </w:pPr>
    </w:p>
    <w:p>
      <w:pPr>
        <w:spacing w:line="300" w:lineRule="auto"/>
        <w:jc w:val="left"/>
        <w:rPr>
          <w:rFonts w:hAnsi="宋体" w:cs="宋体"/>
        </w:rPr>
      </w:pPr>
    </w:p>
    <w:p>
      <w:pPr>
        <w:spacing w:line="300" w:lineRule="auto"/>
        <w:jc w:val="left"/>
        <w:rPr>
          <w:rFonts w:hAnsi="宋体" w:cs="宋体"/>
        </w:rPr>
      </w:pPr>
    </w:p>
    <w:p>
      <w:pPr>
        <w:spacing w:line="300" w:lineRule="auto"/>
        <w:jc w:val="left"/>
        <w:rPr>
          <w:rFonts w:hAnsi="宋体" w:cs="宋体"/>
          <w:szCs w:val="21"/>
        </w:rPr>
      </w:pPr>
      <w:r>
        <w:rPr>
          <w:rFonts w:hint="eastAsia" w:hAnsi="宋体" w:cs="宋体"/>
          <w:szCs w:val="21"/>
        </w:rPr>
        <w:t>注：享受政府采购支持政策的残疾人福利性单位应当同时满足以下条件：</w:t>
      </w:r>
    </w:p>
    <w:p>
      <w:pPr>
        <w:spacing w:line="300" w:lineRule="auto"/>
        <w:ind w:firstLine="420" w:firstLineChars="200"/>
        <w:jc w:val="left"/>
        <w:rPr>
          <w:rFonts w:hAnsi="宋体" w:cs="宋体"/>
          <w:szCs w:val="21"/>
        </w:rPr>
      </w:pPr>
      <w:r>
        <w:rPr>
          <w:rFonts w:hint="eastAsia" w:hAnsi="宋体" w:cs="宋体"/>
          <w:szCs w:val="21"/>
        </w:rPr>
        <w:t>（一）安置的残疾人占本单位在职职工人数的比例不低于25%（含25%），并且安置的残疾人人数不少于10 人（含10 人）；</w:t>
      </w:r>
    </w:p>
    <w:p>
      <w:pPr>
        <w:spacing w:line="300" w:lineRule="auto"/>
        <w:ind w:firstLine="420" w:firstLineChars="200"/>
        <w:jc w:val="left"/>
        <w:rPr>
          <w:rFonts w:hAnsi="宋体" w:cs="宋体"/>
          <w:szCs w:val="21"/>
        </w:rPr>
      </w:pPr>
      <w:r>
        <w:rPr>
          <w:rFonts w:hint="eastAsia" w:hAnsi="宋体" w:cs="宋体"/>
          <w:szCs w:val="21"/>
        </w:rPr>
        <w:t>（二）依法与安置的每位残疾人签订了一年以上（含一年）的劳动合同或服务协议；</w:t>
      </w:r>
    </w:p>
    <w:p>
      <w:pPr>
        <w:spacing w:line="300" w:lineRule="auto"/>
        <w:ind w:firstLine="420" w:firstLineChars="200"/>
        <w:jc w:val="left"/>
        <w:rPr>
          <w:rFonts w:hAnsi="宋体" w:cs="宋体"/>
          <w:szCs w:val="21"/>
        </w:rPr>
      </w:pPr>
      <w:r>
        <w:rPr>
          <w:rFonts w:hint="eastAsia" w:hAnsi="宋体" w:cs="宋体"/>
          <w:szCs w:val="21"/>
        </w:rPr>
        <w:t>（三）为安置的每位残疾人按月足额缴纳了基本养老保险、基本医疗保险、失业保险、工伤保险和生育保险等社会保险费；</w:t>
      </w:r>
    </w:p>
    <w:p>
      <w:pPr>
        <w:spacing w:line="300" w:lineRule="auto"/>
        <w:ind w:firstLine="420" w:firstLineChars="200"/>
        <w:jc w:val="left"/>
        <w:rPr>
          <w:rFonts w:hAnsi="宋体" w:cs="宋体"/>
          <w:szCs w:val="21"/>
        </w:rPr>
      </w:pPr>
      <w:r>
        <w:rPr>
          <w:rFonts w:hint="eastAsia" w:hAnsi="宋体" w:cs="宋体"/>
          <w:szCs w:val="21"/>
        </w:rPr>
        <w:t>（四）通过银行等金融机构向安置的每位残疾人，按月支付了不低于单位所在区县适用的经省级人民政府批准的月最低工资标准的工资；</w:t>
      </w:r>
    </w:p>
    <w:p>
      <w:pPr>
        <w:spacing w:line="300" w:lineRule="auto"/>
        <w:ind w:firstLine="420" w:firstLineChars="200"/>
        <w:jc w:val="left"/>
        <w:rPr>
          <w:rFonts w:hAnsi="宋体" w:cs="宋体"/>
          <w:szCs w:val="21"/>
        </w:rPr>
      </w:pPr>
      <w:r>
        <w:rPr>
          <w:rFonts w:hint="eastAsia" w:hAnsi="宋体" w:cs="宋体"/>
          <w:szCs w:val="21"/>
        </w:rPr>
        <w:t>（五）提供本单位制造的货物、承担的工程或者服务（以下简称产品），或者提供其他残疾人福利性单位制造的货物（不包括使用非残疾人福利性单位注册商标的货物）。</w:t>
      </w:r>
    </w:p>
    <w:p>
      <w:pPr>
        <w:spacing w:line="360" w:lineRule="auto"/>
        <w:jc w:val="center"/>
        <w:rPr>
          <w:rFonts w:hAnsi="宋体" w:cs="宋体"/>
          <w:b/>
          <w:bCs/>
          <w:sz w:val="36"/>
        </w:rPr>
      </w:pPr>
      <w:r>
        <w:rPr>
          <w:rFonts w:hint="eastAsia" w:hAnsi="宋体" w:cs="宋体"/>
          <w:szCs w:val="21"/>
        </w:rPr>
        <w:t>前款所称残疾人是指法定劳动年龄内，持有《中华人民共和国残疾人证》或者《中华人民共和国残疾军人证（1 至8 级）》的自然人，包括具有劳动条件和劳动意愿的精神残疾人。在职职工人数是指与残疾人福利性单位建立劳动关系并依法签订劳动合同或者服务协议的雇员人数。符合条件的残疾人福利性单位在参加政府采购活动时，应当提供《残疾人福利性单位声明函》，并对声明的真实性负责。</w:t>
      </w:r>
      <w:r>
        <w:rPr>
          <w:rFonts w:hint="eastAsia" w:hAnsi="宋体" w:cs="宋体"/>
          <w:szCs w:val="21"/>
        </w:rPr>
        <w:br w:type="page"/>
      </w:r>
      <w:r>
        <w:rPr>
          <w:rFonts w:hint="eastAsia" w:hAnsi="宋体" w:cs="宋体"/>
          <w:b/>
          <w:bCs/>
          <w:sz w:val="36"/>
        </w:rPr>
        <w:t>监狱企业的证明文件（如有）</w:t>
      </w:r>
    </w:p>
    <w:p>
      <w:pPr>
        <w:jc w:val="center"/>
        <w:rPr>
          <w:rFonts w:hAnsi="宋体" w:cs="宋体"/>
          <w:b/>
          <w:bCs/>
          <w:sz w:val="36"/>
        </w:rPr>
      </w:pPr>
    </w:p>
    <w:p>
      <w:pPr>
        <w:rPr>
          <w:rFonts w:hint="eastAsia" w:ascii="Times New Roman" w:hAnsi="Times New Roman"/>
          <w:color w:val="auto"/>
          <w:sz w:val="36"/>
          <w:szCs w:val="36"/>
        </w:rPr>
      </w:pPr>
      <w:r>
        <w:rPr>
          <w:rFonts w:hint="eastAsia" w:hAnsi="宋体" w:cs="宋体"/>
        </w:rPr>
        <w:t>说明：提供由监狱管理局、戒毒管理局（含新疆生产建设兵团）出具的属于监狱企业的证明文件，并加盖</w:t>
      </w:r>
      <w:r>
        <w:rPr>
          <w:rFonts w:hint="eastAsia" w:hAnsi="宋体" w:cs="宋体"/>
          <w:lang w:eastAsia="zh-CN"/>
        </w:rPr>
        <w:t>供应商</w:t>
      </w:r>
      <w:r>
        <w:rPr>
          <w:rFonts w:hint="eastAsia" w:hAnsi="宋体" w:cs="宋体"/>
        </w:rPr>
        <w:t>公章。</w:t>
      </w:r>
    </w:p>
    <w:p>
      <w:pPr>
        <w:rPr>
          <w:rFonts w:ascii="Times New Roman" w:hAnsi="Times New Roman"/>
          <w:color w:val="auto"/>
          <w:sz w:val="36"/>
          <w:szCs w:val="36"/>
        </w:rPr>
      </w:pPr>
      <w:r>
        <w:rPr>
          <w:rFonts w:hint="eastAsia" w:ascii="Times New Roman" w:hAnsi="Times New Roman"/>
          <w:color w:val="auto"/>
          <w:sz w:val="36"/>
          <w:szCs w:val="36"/>
        </w:rPr>
        <w:br w:type="page"/>
      </w:r>
    </w:p>
    <w:p>
      <w:pPr>
        <w:pStyle w:val="4"/>
        <w:pageBreakBefore/>
        <w:numPr>
          <w:ilvl w:val="0"/>
          <w:numId w:val="0"/>
        </w:numPr>
        <w:spacing w:afterLines="0"/>
        <w:ind w:left="-6" w:leftChars="0"/>
        <w:jc w:val="center"/>
        <w:rPr>
          <w:rFonts w:hint="eastAsia" w:ascii="Times New Roman" w:hAnsi="Times New Roman" w:eastAsia="宋体"/>
          <w:color w:val="auto"/>
          <w:sz w:val="36"/>
          <w:szCs w:val="36"/>
          <w:lang w:eastAsia="zh-CN"/>
        </w:rPr>
      </w:pPr>
      <w:bookmarkStart w:id="1375" w:name="_Toc30205"/>
      <w:r>
        <w:rPr>
          <w:rFonts w:hint="eastAsia" w:ascii="Times New Roman" w:hAnsi="Times New Roman"/>
          <w:color w:val="auto"/>
          <w:sz w:val="36"/>
          <w:szCs w:val="36"/>
          <w:lang w:val="en-US" w:eastAsia="zh-CN"/>
        </w:rPr>
        <w:t xml:space="preserve">1.7 </w:t>
      </w:r>
      <w:bookmarkEnd w:id="1368"/>
      <w:bookmarkEnd w:id="1369"/>
      <w:bookmarkEnd w:id="1370"/>
      <w:bookmarkEnd w:id="1371"/>
      <w:bookmarkEnd w:id="1372"/>
      <w:bookmarkEnd w:id="1373"/>
      <w:bookmarkEnd w:id="1374"/>
      <w:r>
        <w:rPr>
          <w:rFonts w:hint="eastAsia" w:ascii="Times New Roman" w:hAnsi="Times New Roman"/>
          <w:color w:val="auto"/>
          <w:sz w:val="36"/>
          <w:szCs w:val="36"/>
          <w:lang w:eastAsia="zh-CN"/>
        </w:rPr>
        <w:t>信用查询</w:t>
      </w:r>
      <w:bookmarkEnd w:id="1375"/>
    </w:p>
    <w:bookmarkEnd w:id="1360"/>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sz w:val="24"/>
          <w:szCs w:val="24"/>
        </w:rPr>
      </w:pPr>
      <w:bookmarkStart w:id="1376" w:name="_Toc25046"/>
      <w:bookmarkStart w:id="1377" w:name="_Toc419106572"/>
      <w:bookmarkStart w:id="1378" w:name="_Toc240108117"/>
      <w:bookmarkStart w:id="1379" w:name="_Toc24232"/>
      <w:bookmarkStart w:id="1380" w:name="_Toc259803670"/>
      <w:r>
        <w:rPr>
          <w:rFonts w:hint="eastAsia" w:ascii="宋体" w:hAnsi="宋体" w:eastAsia="宋体" w:cs="宋体"/>
          <w:b w:val="0"/>
          <w:bCs/>
          <w:sz w:val="24"/>
          <w:szCs w:val="24"/>
        </w:rPr>
        <w:t>供应商未被列入“信用中国”网站(www.creditchina.gov.cn)“失信被执行人或重大税收违法失信主体”记录名单；不处于中国政府采购网(www.ccgp.gov.cn)“政府采购严重违法失信行为信息记录”中的禁止参加政府采购活动期间【以采购代理机构于投标（响应）截止时间当天在“信用中国”网站（www.creditchina.gov.cn）及中国政府采购网（http://www.ccgp.gov.cn/）查询结果为准，如相关失信记录已失效，供应商需提供相关证明资料】。</w:t>
      </w:r>
    </w:p>
    <w:p>
      <w:pPr>
        <w:pStyle w:val="23"/>
        <w:ind w:firstLine="0" w:firstLineChars="0"/>
      </w:pPr>
    </w:p>
    <w:p>
      <w:pPr>
        <w:pStyle w:val="23"/>
        <w:ind w:firstLine="0" w:firstLineChars="0"/>
        <w:rPr>
          <w:rFonts w:hint="eastAsia" w:cs="宋体"/>
          <w:sz w:val="24"/>
          <w:lang w:val="hr-HR"/>
        </w:rPr>
      </w:pPr>
      <w:r>
        <w:rPr>
          <w:rFonts w:hint="eastAsia" w:cs="宋体"/>
          <w:sz w:val="24"/>
          <w:lang w:val="hr-HR"/>
        </w:rPr>
        <w:t>注：以上材料均须加盖</w:t>
      </w:r>
      <w:r>
        <w:rPr>
          <w:rFonts w:hint="eastAsia" w:cs="宋体"/>
          <w:sz w:val="24"/>
          <w:lang w:val="hr-HR" w:eastAsia="zh-CN"/>
        </w:rPr>
        <w:t>供应商</w:t>
      </w:r>
      <w:r>
        <w:rPr>
          <w:rFonts w:hint="eastAsia" w:cs="宋体"/>
          <w:sz w:val="24"/>
          <w:lang w:val="hr-HR"/>
        </w:rPr>
        <w:t>公章。</w:t>
      </w:r>
    </w:p>
    <w:p>
      <w:pPr>
        <w:pStyle w:val="23"/>
        <w:ind w:firstLine="0" w:firstLineChars="0"/>
        <w:rPr>
          <w:rFonts w:hint="eastAsia" w:cs="宋体"/>
          <w:sz w:val="24"/>
          <w:lang w:val="hr-HR"/>
        </w:rPr>
      </w:pPr>
    </w:p>
    <w:p>
      <w:pPr>
        <w:pStyle w:val="23"/>
        <w:ind w:firstLine="0" w:firstLineChars="0"/>
        <w:rPr>
          <w:rFonts w:hint="eastAsia" w:cs="宋体"/>
          <w:sz w:val="24"/>
          <w:lang w:val="hr-HR"/>
        </w:rPr>
        <w:sectPr>
          <w:pgSz w:w="11906" w:h="16838"/>
          <w:pgMar w:top="1134" w:right="1134" w:bottom="1134" w:left="1587" w:header="567" w:footer="737" w:gutter="0"/>
          <w:pgNumType w:fmt="decimal"/>
          <w:cols w:space="720" w:num="1"/>
          <w:docGrid w:type="lines" w:linePitch="312" w:charSpace="0"/>
        </w:sectPr>
      </w:pPr>
    </w:p>
    <w:p>
      <w:pPr>
        <w:pStyle w:val="3"/>
        <w:pageBreakBefore/>
        <w:jc w:val="center"/>
        <w:rPr>
          <w:b w:val="0"/>
          <w:bCs/>
          <w:color w:val="auto"/>
          <w:sz w:val="52"/>
        </w:rPr>
        <w:sectPr>
          <w:pgSz w:w="11906" w:h="16838"/>
          <w:pgMar w:top="1134" w:right="1134" w:bottom="1134" w:left="1587" w:header="567" w:footer="737" w:gutter="0"/>
          <w:pgNumType w:fmt="decimal"/>
          <w:cols w:space="720" w:num="1"/>
          <w:docGrid w:type="lines" w:linePitch="312" w:charSpace="0"/>
        </w:sectPr>
      </w:pPr>
      <w:bookmarkStart w:id="1381" w:name="_Toc27807"/>
      <w:r>
        <w:rPr>
          <w:rFonts w:hint="eastAsia"/>
          <w:b w:val="0"/>
          <w:bCs/>
          <w:color w:val="auto"/>
          <w:sz w:val="52"/>
        </w:rPr>
        <w:t>第二章  评审内容索引</w:t>
      </w:r>
      <w:bookmarkEnd w:id="1376"/>
      <w:bookmarkEnd w:id="1377"/>
      <w:bookmarkEnd w:id="1378"/>
      <w:bookmarkEnd w:id="1379"/>
      <w:bookmarkEnd w:id="1380"/>
      <w:bookmarkEnd w:id="1381"/>
    </w:p>
    <w:p>
      <w:pPr>
        <w:pStyle w:val="4"/>
        <w:pageBreakBefore/>
        <w:numPr>
          <w:ilvl w:val="0"/>
          <w:numId w:val="27"/>
        </w:numPr>
        <w:spacing w:afterLines="0"/>
        <w:rPr>
          <w:rFonts w:ascii="Times New Roman" w:hAnsi="Times New Roman"/>
          <w:color w:val="auto"/>
          <w:sz w:val="36"/>
          <w:szCs w:val="36"/>
        </w:rPr>
      </w:pPr>
      <w:bookmarkStart w:id="1382" w:name="_评审内容索引表"/>
      <w:bookmarkEnd w:id="1382"/>
      <w:bookmarkStart w:id="1383" w:name="_Toc18433"/>
      <w:bookmarkStart w:id="1384" w:name="_Toc5779"/>
      <w:bookmarkStart w:id="1385" w:name="_Toc31571"/>
      <w:bookmarkStart w:id="1386" w:name="_Toc16476"/>
      <w:bookmarkStart w:id="1387" w:name="_Toc419106573"/>
      <w:bookmarkStart w:id="1388" w:name="_Toc30536"/>
      <w:bookmarkStart w:id="1389" w:name="_Toc3608"/>
      <w:bookmarkStart w:id="1390" w:name="_Toc28851"/>
      <w:r>
        <w:rPr>
          <w:rFonts w:hint="eastAsia" w:ascii="Times New Roman" w:hAnsi="Times New Roman"/>
          <w:color w:val="auto"/>
          <w:sz w:val="36"/>
          <w:szCs w:val="36"/>
        </w:rPr>
        <w:t>符合性响应表</w:t>
      </w:r>
      <w:bookmarkEnd w:id="1383"/>
      <w:bookmarkEnd w:id="1384"/>
      <w:bookmarkEnd w:id="1385"/>
      <w:bookmarkEnd w:id="1386"/>
    </w:p>
    <w:tbl>
      <w:tblPr>
        <w:tblStyle w:val="24"/>
        <w:tblW w:w="94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1"/>
        <w:gridCol w:w="4069"/>
        <w:gridCol w:w="2145"/>
        <w:gridCol w:w="24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811" w:type="dxa"/>
            <w:tcBorders>
              <w:top w:val="single" w:color="auto" w:sz="4" w:space="0"/>
              <w:left w:val="single" w:color="auto" w:sz="4" w:space="0"/>
              <w:bottom w:val="single" w:color="auto" w:sz="4" w:space="0"/>
              <w:right w:val="single" w:color="auto" w:sz="4" w:space="0"/>
            </w:tcBorders>
            <w:shd w:val="clear" w:color="auto" w:fill="F3F3F3"/>
            <w:vAlign w:val="center"/>
          </w:tcPr>
          <w:p>
            <w:pPr>
              <w:pStyle w:val="35"/>
              <w:rPr>
                <w:rFonts w:ascii="宋体" w:hAnsi="宋体" w:cs="宋体"/>
                <w:b w:val="0"/>
                <w:color w:val="auto"/>
                <w:sz w:val="24"/>
                <w:szCs w:val="24"/>
              </w:rPr>
            </w:pPr>
            <w:r>
              <w:rPr>
                <w:rFonts w:hint="eastAsia" w:ascii="宋体" w:hAnsi="宋体" w:cs="宋体"/>
                <w:b w:val="0"/>
                <w:color w:val="auto"/>
                <w:sz w:val="24"/>
                <w:szCs w:val="24"/>
              </w:rPr>
              <w:t>序号</w:t>
            </w:r>
          </w:p>
        </w:tc>
        <w:tc>
          <w:tcPr>
            <w:tcW w:w="4069" w:type="dxa"/>
            <w:tcBorders>
              <w:top w:val="single" w:color="auto" w:sz="4" w:space="0"/>
              <w:left w:val="single" w:color="auto" w:sz="4" w:space="0"/>
              <w:bottom w:val="single" w:color="auto" w:sz="4" w:space="0"/>
              <w:right w:val="single" w:color="auto" w:sz="4" w:space="0"/>
            </w:tcBorders>
            <w:shd w:val="clear" w:color="auto" w:fill="F3F3F3"/>
            <w:vAlign w:val="center"/>
          </w:tcPr>
          <w:p>
            <w:pPr>
              <w:pStyle w:val="35"/>
              <w:rPr>
                <w:rFonts w:ascii="宋体" w:hAnsi="宋体" w:cs="宋体"/>
                <w:b w:val="0"/>
                <w:color w:val="auto"/>
                <w:sz w:val="24"/>
                <w:szCs w:val="24"/>
              </w:rPr>
            </w:pPr>
            <w:r>
              <w:rPr>
                <w:rFonts w:hint="eastAsia" w:ascii="宋体" w:hAnsi="宋体" w:cs="宋体"/>
                <w:b w:val="0"/>
                <w:color w:val="auto"/>
                <w:sz w:val="24"/>
                <w:szCs w:val="24"/>
              </w:rPr>
              <w:t>评  审  标  准</w:t>
            </w:r>
          </w:p>
        </w:tc>
        <w:tc>
          <w:tcPr>
            <w:tcW w:w="2145" w:type="dxa"/>
            <w:tcBorders>
              <w:top w:val="single" w:color="auto" w:sz="4" w:space="0"/>
              <w:left w:val="single" w:color="auto" w:sz="4" w:space="0"/>
              <w:bottom w:val="single" w:color="auto" w:sz="4" w:space="0"/>
              <w:right w:val="single" w:color="auto" w:sz="4" w:space="0"/>
            </w:tcBorders>
            <w:shd w:val="clear" w:color="auto" w:fill="F3F3F3"/>
            <w:vAlign w:val="center"/>
          </w:tcPr>
          <w:p>
            <w:pPr>
              <w:pStyle w:val="35"/>
              <w:rPr>
                <w:rFonts w:ascii="宋体" w:hAnsi="宋体" w:cs="宋体"/>
                <w:b w:val="0"/>
                <w:color w:val="auto"/>
                <w:sz w:val="24"/>
                <w:szCs w:val="24"/>
              </w:rPr>
            </w:pPr>
            <w:r>
              <w:rPr>
                <w:rFonts w:hint="eastAsia" w:ascii="宋体" w:hAnsi="宋体" w:cs="宋体"/>
                <w:b w:val="0"/>
                <w:color w:val="auto"/>
                <w:sz w:val="24"/>
                <w:szCs w:val="24"/>
              </w:rPr>
              <w:t>是否响应</w:t>
            </w:r>
          </w:p>
        </w:tc>
        <w:tc>
          <w:tcPr>
            <w:tcW w:w="2465" w:type="dxa"/>
            <w:tcBorders>
              <w:top w:val="single" w:color="auto" w:sz="4" w:space="0"/>
              <w:left w:val="single" w:color="auto" w:sz="4" w:space="0"/>
              <w:bottom w:val="single" w:color="auto" w:sz="4" w:space="0"/>
              <w:right w:val="single" w:color="auto" w:sz="4" w:space="0"/>
            </w:tcBorders>
            <w:shd w:val="clear" w:color="auto" w:fill="F3F3F3"/>
            <w:vAlign w:val="center"/>
          </w:tcPr>
          <w:p>
            <w:pPr>
              <w:pStyle w:val="35"/>
              <w:rPr>
                <w:rFonts w:ascii="宋体" w:hAnsi="宋体" w:cs="宋体"/>
                <w:b w:val="0"/>
                <w:color w:val="auto"/>
                <w:sz w:val="24"/>
                <w:szCs w:val="24"/>
              </w:rPr>
            </w:pPr>
            <w:r>
              <w:rPr>
                <w:rFonts w:hint="eastAsia" w:ascii="宋体" w:hAnsi="宋体" w:cs="宋体"/>
                <w:b w:val="0"/>
                <w:color w:val="auto"/>
                <w:sz w:val="24"/>
                <w:szCs w:val="24"/>
              </w:rPr>
              <w:t>索引页码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2"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tabs>
                <w:tab w:val="left" w:pos="972"/>
              </w:tabs>
              <w:jc w:val="center"/>
              <w:rPr>
                <w:rFonts w:ascii="宋体" w:hAnsi="宋体" w:cs="宋体"/>
                <w:color w:val="000000"/>
                <w:sz w:val="24"/>
              </w:rPr>
            </w:pPr>
            <w:r>
              <w:rPr>
                <w:rFonts w:hint="eastAsia" w:ascii="宋体" w:hAnsi="宋体" w:cs="宋体"/>
                <w:color w:val="000000"/>
                <w:sz w:val="24"/>
              </w:rPr>
              <w:t>1</w:t>
            </w:r>
          </w:p>
        </w:tc>
        <w:tc>
          <w:tcPr>
            <w:tcW w:w="4069"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77" w:lineRule="auto"/>
              <w:jc w:val="center"/>
              <w:rPr>
                <w:rFonts w:ascii="宋体" w:hAnsi="宋体" w:cs="宋体"/>
                <w:color w:val="000000"/>
                <w:sz w:val="24"/>
              </w:rPr>
            </w:pPr>
            <w:r>
              <w:rPr>
                <w:rFonts w:hint="eastAsia" w:ascii="宋体" w:hAnsi="宋体" w:cs="宋体"/>
                <w:color w:val="000000"/>
                <w:sz w:val="24"/>
              </w:rPr>
              <w:t>响应文件制作（签字盖章均符合要求）</w:t>
            </w:r>
          </w:p>
        </w:tc>
        <w:tc>
          <w:tcPr>
            <w:tcW w:w="2145" w:type="dxa"/>
            <w:tcBorders>
              <w:top w:val="single" w:color="auto" w:sz="4" w:space="0"/>
              <w:left w:val="single" w:color="auto" w:sz="4" w:space="0"/>
              <w:bottom w:val="single" w:color="auto" w:sz="4" w:space="0"/>
              <w:right w:val="single" w:color="auto" w:sz="4" w:space="0"/>
            </w:tcBorders>
            <w:vAlign w:val="center"/>
          </w:tcPr>
          <w:p>
            <w:pPr>
              <w:pStyle w:val="11"/>
              <w:jc w:val="center"/>
              <w:rPr>
                <w:rFonts w:cs="宋体"/>
                <w:color w:val="000000"/>
                <w:sz w:val="24"/>
              </w:rPr>
            </w:pPr>
          </w:p>
        </w:tc>
        <w:tc>
          <w:tcPr>
            <w:tcW w:w="2465" w:type="dxa"/>
            <w:tcBorders>
              <w:top w:val="single" w:color="auto" w:sz="4" w:space="0"/>
              <w:left w:val="single" w:color="auto" w:sz="4" w:space="0"/>
              <w:bottom w:val="single" w:color="auto" w:sz="4" w:space="0"/>
              <w:right w:val="single" w:color="auto" w:sz="4" w:space="0"/>
            </w:tcBorders>
            <w:vAlign w:val="center"/>
          </w:tcPr>
          <w:p>
            <w:pPr>
              <w:pStyle w:val="11"/>
              <w:jc w:val="center"/>
              <w:rPr>
                <w:rFonts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2"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tabs>
                <w:tab w:val="left" w:pos="972"/>
              </w:tabs>
              <w:jc w:val="center"/>
              <w:rPr>
                <w:rFonts w:ascii="宋体" w:hAnsi="宋体" w:cs="宋体"/>
                <w:color w:val="000000"/>
                <w:sz w:val="24"/>
              </w:rPr>
            </w:pPr>
            <w:r>
              <w:rPr>
                <w:rFonts w:hint="eastAsia" w:ascii="宋体" w:hAnsi="宋体" w:cs="宋体"/>
                <w:color w:val="000000"/>
                <w:sz w:val="24"/>
              </w:rPr>
              <w:t>2</w:t>
            </w:r>
          </w:p>
        </w:tc>
        <w:tc>
          <w:tcPr>
            <w:tcW w:w="4069"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77" w:lineRule="auto"/>
              <w:jc w:val="center"/>
              <w:rPr>
                <w:rFonts w:ascii="宋体" w:hAnsi="宋体" w:cs="宋体"/>
                <w:color w:val="000000"/>
                <w:sz w:val="24"/>
              </w:rPr>
            </w:pPr>
            <w:r>
              <w:rPr>
                <w:rFonts w:hint="eastAsia" w:ascii="宋体" w:hAnsi="宋体" w:cs="宋体"/>
                <w:color w:val="000000"/>
                <w:sz w:val="24"/>
              </w:rPr>
              <w:t>《采购文件》中“响应文件说明”必须提交的文件（各文件格式、数量及内容均完整有效）</w:t>
            </w:r>
          </w:p>
        </w:tc>
        <w:tc>
          <w:tcPr>
            <w:tcW w:w="2145" w:type="dxa"/>
            <w:tcBorders>
              <w:top w:val="single" w:color="auto" w:sz="4" w:space="0"/>
              <w:left w:val="single" w:color="auto" w:sz="4" w:space="0"/>
              <w:bottom w:val="single" w:color="auto" w:sz="4" w:space="0"/>
              <w:right w:val="single" w:color="auto" w:sz="4" w:space="0"/>
            </w:tcBorders>
            <w:vAlign w:val="center"/>
          </w:tcPr>
          <w:p>
            <w:pPr>
              <w:pStyle w:val="11"/>
              <w:jc w:val="center"/>
              <w:rPr>
                <w:rFonts w:cs="宋体"/>
                <w:color w:val="000000"/>
                <w:sz w:val="24"/>
              </w:rPr>
            </w:pPr>
          </w:p>
        </w:tc>
        <w:tc>
          <w:tcPr>
            <w:tcW w:w="2465" w:type="dxa"/>
            <w:tcBorders>
              <w:top w:val="single" w:color="auto" w:sz="4" w:space="0"/>
              <w:left w:val="single" w:color="auto" w:sz="4" w:space="0"/>
              <w:bottom w:val="single" w:color="auto" w:sz="4" w:space="0"/>
              <w:right w:val="single" w:color="auto" w:sz="4" w:space="0"/>
            </w:tcBorders>
            <w:vAlign w:val="center"/>
          </w:tcPr>
          <w:p>
            <w:pPr>
              <w:pStyle w:val="11"/>
              <w:jc w:val="center"/>
              <w:rPr>
                <w:rFonts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4"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tabs>
                <w:tab w:val="left" w:pos="972"/>
              </w:tabs>
              <w:jc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3</w:t>
            </w:r>
          </w:p>
        </w:tc>
        <w:tc>
          <w:tcPr>
            <w:tcW w:w="4069"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77" w:lineRule="auto"/>
              <w:jc w:val="center"/>
              <w:rPr>
                <w:rFonts w:ascii="宋体" w:hAnsi="宋体" w:cs="宋体"/>
                <w:color w:val="000000"/>
                <w:sz w:val="24"/>
              </w:rPr>
            </w:pPr>
            <w:r>
              <w:rPr>
                <w:rFonts w:hint="eastAsia" w:ascii="宋体" w:hAnsi="宋体" w:cs="宋体"/>
                <w:color w:val="000000"/>
                <w:sz w:val="24"/>
              </w:rPr>
              <w:t>响应承诺函（投标有效期）</w:t>
            </w:r>
          </w:p>
        </w:tc>
        <w:tc>
          <w:tcPr>
            <w:tcW w:w="2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p>
        </w:tc>
        <w:tc>
          <w:tcPr>
            <w:tcW w:w="2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7"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tabs>
                <w:tab w:val="left" w:pos="972"/>
              </w:tabs>
              <w:jc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4</w:t>
            </w:r>
          </w:p>
        </w:tc>
        <w:tc>
          <w:tcPr>
            <w:tcW w:w="4069"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77" w:lineRule="auto"/>
              <w:jc w:val="center"/>
              <w:rPr>
                <w:rFonts w:ascii="宋体" w:hAnsi="宋体" w:cs="宋体"/>
                <w:color w:val="000000"/>
                <w:sz w:val="24"/>
              </w:rPr>
            </w:pPr>
            <w:r>
              <w:rPr>
                <w:rFonts w:hint="eastAsia" w:ascii="宋体" w:hAnsi="宋体" w:cs="宋体"/>
                <w:color w:val="000000"/>
                <w:sz w:val="24"/>
                <w:lang w:val="en-US" w:eastAsia="zh-CN"/>
              </w:rPr>
              <w:t>报价要求（没有超出本项目控制金额上限，且符合采购文件的其他投标报价相关要求）</w:t>
            </w:r>
          </w:p>
        </w:tc>
        <w:tc>
          <w:tcPr>
            <w:tcW w:w="2145" w:type="dxa"/>
            <w:tcBorders>
              <w:top w:val="single" w:color="auto" w:sz="4" w:space="0"/>
              <w:left w:val="single" w:color="auto" w:sz="4" w:space="0"/>
              <w:bottom w:val="single" w:color="auto" w:sz="4" w:space="0"/>
              <w:right w:val="single" w:color="auto" w:sz="4" w:space="0"/>
            </w:tcBorders>
            <w:vAlign w:val="center"/>
          </w:tcPr>
          <w:p>
            <w:pPr>
              <w:pStyle w:val="11"/>
              <w:jc w:val="center"/>
              <w:rPr>
                <w:rFonts w:cs="宋体"/>
                <w:color w:val="000000"/>
                <w:sz w:val="24"/>
              </w:rPr>
            </w:pPr>
          </w:p>
        </w:tc>
        <w:tc>
          <w:tcPr>
            <w:tcW w:w="2465" w:type="dxa"/>
            <w:tcBorders>
              <w:top w:val="single" w:color="auto" w:sz="4" w:space="0"/>
              <w:left w:val="single" w:color="auto" w:sz="4" w:space="0"/>
              <w:bottom w:val="single" w:color="auto" w:sz="4" w:space="0"/>
              <w:right w:val="single" w:color="auto" w:sz="4" w:space="0"/>
            </w:tcBorders>
            <w:vAlign w:val="center"/>
          </w:tcPr>
          <w:p>
            <w:pPr>
              <w:pStyle w:val="11"/>
              <w:jc w:val="center"/>
              <w:rPr>
                <w:rFonts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7"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tabs>
                <w:tab w:val="left" w:pos="972"/>
              </w:tabs>
              <w:jc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5</w:t>
            </w:r>
          </w:p>
        </w:tc>
        <w:tc>
          <w:tcPr>
            <w:tcW w:w="4069" w:type="dxa"/>
            <w:tcBorders>
              <w:top w:val="single" w:color="auto" w:sz="4" w:space="0"/>
              <w:left w:val="single" w:color="auto" w:sz="4" w:space="0"/>
              <w:bottom w:val="single" w:color="auto" w:sz="4" w:space="0"/>
              <w:right w:val="single" w:color="auto" w:sz="4" w:space="0"/>
            </w:tcBorders>
            <w:vAlign w:val="center"/>
          </w:tcPr>
          <w:p>
            <w:pPr>
              <w:tabs>
                <w:tab w:val="left" w:pos="900"/>
              </w:tabs>
              <w:spacing w:line="377" w:lineRule="auto"/>
              <w:jc w:val="center"/>
              <w:rPr>
                <w:rFonts w:hint="eastAsia" w:ascii="宋体" w:hAnsi="宋体" w:cs="宋体"/>
                <w:color w:val="000000"/>
                <w:sz w:val="24"/>
              </w:rPr>
            </w:pPr>
            <w:r>
              <w:rPr>
                <w:rFonts w:hint="eastAsia" w:ascii="宋体" w:hAnsi="宋体" w:cs="宋体"/>
                <w:color w:val="000000"/>
                <w:sz w:val="24"/>
                <w:lang w:val="en-US" w:eastAsia="zh-CN"/>
              </w:rPr>
              <w:t>实质性条款响应情况 （完全响应采购文件的实质性条款（即“★”号条款）</w:t>
            </w:r>
          </w:p>
        </w:tc>
        <w:tc>
          <w:tcPr>
            <w:tcW w:w="2145" w:type="dxa"/>
            <w:tcBorders>
              <w:top w:val="single" w:color="auto" w:sz="4" w:space="0"/>
              <w:left w:val="single" w:color="auto" w:sz="4" w:space="0"/>
              <w:bottom w:val="single" w:color="auto" w:sz="4" w:space="0"/>
              <w:right w:val="single" w:color="auto" w:sz="4" w:space="0"/>
            </w:tcBorders>
            <w:vAlign w:val="center"/>
          </w:tcPr>
          <w:p>
            <w:pPr>
              <w:pStyle w:val="11"/>
              <w:jc w:val="center"/>
              <w:rPr>
                <w:rFonts w:cs="宋体"/>
                <w:color w:val="000000"/>
                <w:sz w:val="24"/>
              </w:rPr>
            </w:pPr>
          </w:p>
        </w:tc>
        <w:tc>
          <w:tcPr>
            <w:tcW w:w="2465" w:type="dxa"/>
            <w:tcBorders>
              <w:top w:val="single" w:color="auto" w:sz="4" w:space="0"/>
              <w:left w:val="single" w:color="auto" w:sz="4" w:space="0"/>
              <w:bottom w:val="single" w:color="auto" w:sz="4" w:space="0"/>
              <w:right w:val="single" w:color="auto" w:sz="4" w:space="0"/>
            </w:tcBorders>
            <w:vAlign w:val="center"/>
          </w:tcPr>
          <w:p>
            <w:pPr>
              <w:pStyle w:val="11"/>
              <w:jc w:val="center"/>
              <w:rPr>
                <w:rFonts w:cs="宋体"/>
                <w:color w:val="000000"/>
                <w:sz w:val="24"/>
              </w:rPr>
            </w:pPr>
          </w:p>
        </w:tc>
      </w:tr>
    </w:tbl>
    <w:p>
      <w:pPr>
        <w:pStyle w:val="11"/>
        <w:rPr>
          <w:rFonts w:cs="宋体"/>
          <w:b/>
          <w:bCs/>
          <w:sz w:val="36"/>
          <w:szCs w:val="36"/>
        </w:rPr>
      </w:pPr>
    </w:p>
    <w:p>
      <w:pPr>
        <w:pStyle w:val="11"/>
        <w:rPr>
          <w:rFonts w:cs="宋体"/>
          <w:b/>
          <w:bCs/>
          <w:sz w:val="36"/>
          <w:szCs w:val="36"/>
        </w:rPr>
      </w:pPr>
    </w:p>
    <w:p>
      <w:pPr>
        <w:pStyle w:val="11"/>
        <w:rPr>
          <w:rFonts w:cs="宋体"/>
          <w:b/>
          <w:bCs/>
          <w:sz w:val="36"/>
          <w:szCs w:val="36"/>
        </w:rPr>
      </w:pPr>
    </w:p>
    <w:p>
      <w:pPr>
        <w:pStyle w:val="4"/>
        <w:pageBreakBefore/>
        <w:numPr>
          <w:ilvl w:val="0"/>
          <w:numId w:val="28"/>
        </w:numPr>
        <w:spacing w:afterLines="0"/>
        <w:jc w:val="both"/>
        <w:rPr>
          <w:rFonts w:ascii="Times New Roman" w:hAnsi="Times New Roman"/>
          <w:color w:val="auto"/>
          <w:sz w:val="36"/>
          <w:szCs w:val="36"/>
        </w:rPr>
        <w:sectPr>
          <w:pgSz w:w="11906" w:h="16838"/>
          <w:pgMar w:top="1134" w:right="1134" w:bottom="1134" w:left="1587" w:header="567" w:footer="737" w:gutter="0"/>
          <w:pgNumType w:fmt="decimal"/>
          <w:cols w:space="720" w:num="1"/>
          <w:docGrid w:type="lines" w:linePitch="312" w:charSpace="0"/>
        </w:sectPr>
      </w:pPr>
    </w:p>
    <w:p>
      <w:pPr>
        <w:pStyle w:val="4"/>
        <w:pageBreakBefore/>
        <w:numPr>
          <w:ilvl w:val="0"/>
          <w:numId w:val="27"/>
        </w:numPr>
        <w:spacing w:afterLines="0"/>
        <w:rPr>
          <w:rFonts w:ascii="Times New Roman" w:hAnsi="Times New Roman"/>
          <w:color w:val="auto"/>
          <w:sz w:val="36"/>
          <w:szCs w:val="36"/>
        </w:rPr>
      </w:pPr>
      <w:bookmarkStart w:id="1391" w:name="_Toc16110"/>
      <w:bookmarkStart w:id="1392" w:name="_Toc25703"/>
      <w:bookmarkStart w:id="1393" w:name="_Toc5687"/>
      <w:bookmarkStart w:id="1394" w:name="_Toc30887"/>
      <w:r>
        <w:rPr>
          <w:rFonts w:hint="eastAsia" w:ascii="Times New Roman" w:hAnsi="Times New Roman"/>
          <w:color w:val="auto"/>
          <w:sz w:val="36"/>
          <w:szCs w:val="36"/>
        </w:rPr>
        <w:t>评审内容索引表</w:t>
      </w:r>
      <w:bookmarkEnd w:id="1387"/>
      <w:bookmarkEnd w:id="1388"/>
      <w:bookmarkEnd w:id="1389"/>
      <w:bookmarkEnd w:id="1390"/>
      <w:bookmarkEnd w:id="1391"/>
      <w:bookmarkEnd w:id="1392"/>
      <w:bookmarkEnd w:id="1393"/>
      <w:bookmarkEnd w:id="1394"/>
    </w:p>
    <w:tbl>
      <w:tblPr>
        <w:tblStyle w:val="24"/>
        <w:tblW w:w="913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54"/>
        <w:gridCol w:w="464"/>
        <w:gridCol w:w="3401"/>
        <w:gridCol w:w="972"/>
        <w:gridCol w:w="1254"/>
        <w:gridCol w:w="14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3" w:hRule="exact"/>
          <w:tblHeader/>
          <w:jc w:val="center"/>
        </w:trPr>
        <w:tc>
          <w:tcPr>
            <w:tcW w:w="1554" w:type="dxa"/>
            <w:tcBorders>
              <w:top w:val="single" w:color="auto" w:sz="4" w:space="0"/>
              <w:left w:val="single" w:color="auto" w:sz="4" w:space="0"/>
              <w:bottom w:val="single" w:color="auto" w:sz="4" w:space="0"/>
              <w:right w:val="single" w:color="auto" w:sz="4" w:space="0"/>
            </w:tcBorders>
            <w:shd w:val="clear" w:color="auto" w:fill="F3F3F3"/>
            <w:vAlign w:val="center"/>
          </w:tcPr>
          <w:p>
            <w:pPr>
              <w:pStyle w:val="35"/>
              <w:rPr>
                <w:rFonts w:ascii="宋体" w:hAnsi="宋体"/>
                <w:color w:val="auto"/>
              </w:rPr>
            </w:pPr>
            <w:r>
              <w:rPr>
                <w:rFonts w:hint="eastAsia" w:ascii="宋体" w:hAnsi="宋体"/>
                <w:color w:val="auto"/>
              </w:rPr>
              <w:t>评审内容</w:t>
            </w:r>
          </w:p>
        </w:tc>
        <w:tc>
          <w:tcPr>
            <w:tcW w:w="3865"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pStyle w:val="35"/>
              <w:ind w:left="0" w:leftChars="0" w:firstLine="0"/>
              <w:rPr>
                <w:rFonts w:ascii="宋体" w:hAnsi="宋体"/>
                <w:color w:val="auto"/>
              </w:rPr>
            </w:pPr>
            <w:r>
              <w:rPr>
                <w:rFonts w:hint="eastAsia" w:ascii="宋体" w:hAnsi="宋体"/>
                <w:color w:val="auto"/>
              </w:rPr>
              <w:t>评  审  因 素</w:t>
            </w:r>
          </w:p>
        </w:tc>
        <w:tc>
          <w:tcPr>
            <w:tcW w:w="972" w:type="dxa"/>
            <w:tcBorders>
              <w:top w:val="single" w:color="auto" w:sz="4" w:space="0"/>
              <w:left w:val="single" w:color="auto" w:sz="4" w:space="0"/>
              <w:bottom w:val="single" w:color="auto" w:sz="4" w:space="0"/>
              <w:right w:val="single" w:color="auto" w:sz="4" w:space="0"/>
            </w:tcBorders>
            <w:shd w:val="clear" w:color="auto" w:fill="F3F3F3"/>
            <w:vAlign w:val="center"/>
          </w:tcPr>
          <w:p>
            <w:pPr>
              <w:pStyle w:val="35"/>
              <w:rPr>
                <w:rFonts w:ascii="宋体" w:hAnsi="宋体"/>
                <w:color w:val="auto"/>
              </w:rPr>
            </w:pPr>
            <w:r>
              <w:rPr>
                <w:rFonts w:hint="eastAsia" w:ascii="宋体" w:hAnsi="宋体"/>
                <w:color w:val="auto"/>
              </w:rPr>
              <w:t>分值</w:t>
            </w:r>
          </w:p>
        </w:tc>
        <w:tc>
          <w:tcPr>
            <w:tcW w:w="1254" w:type="dxa"/>
            <w:tcBorders>
              <w:top w:val="single" w:color="auto" w:sz="4" w:space="0"/>
              <w:left w:val="single" w:color="auto" w:sz="4" w:space="0"/>
              <w:bottom w:val="single" w:color="auto" w:sz="4" w:space="0"/>
              <w:right w:val="single" w:color="auto" w:sz="4" w:space="0"/>
            </w:tcBorders>
            <w:shd w:val="clear" w:color="auto" w:fill="F3F3F3"/>
            <w:vAlign w:val="center"/>
          </w:tcPr>
          <w:p>
            <w:pPr>
              <w:jc w:val="center"/>
              <w:rPr>
                <w:b/>
              </w:rPr>
            </w:pPr>
            <w:r>
              <w:rPr>
                <w:rFonts w:hint="eastAsia"/>
                <w:b/>
              </w:rPr>
              <w:t>自评分</w:t>
            </w:r>
          </w:p>
          <w:p>
            <w:pPr>
              <w:ind w:left="-99" w:leftChars="-47" w:right="-122" w:rightChars="-58"/>
              <w:jc w:val="center"/>
              <w:rPr>
                <w:b/>
              </w:rPr>
            </w:pPr>
            <w:r>
              <w:rPr>
                <w:rFonts w:hint="eastAsia"/>
                <w:b/>
              </w:rPr>
              <w:t>（仅供参考）</w:t>
            </w:r>
          </w:p>
        </w:tc>
        <w:tc>
          <w:tcPr>
            <w:tcW w:w="1488" w:type="dxa"/>
            <w:tcBorders>
              <w:top w:val="single" w:color="auto" w:sz="4" w:space="0"/>
              <w:left w:val="single" w:color="auto" w:sz="4" w:space="0"/>
              <w:bottom w:val="single" w:color="auto" w:sz="4" w:space="0"/>
              <w:right w:val="single" w:color="auto" w:sz="4" w:space="0"/>
            </w:tcBorders>
            <w:shd w:val="clear" w:color="auto" w:fill="F3F3F3"/>
            <w:vAlign w:val="center"/>
          </w:tcPr>
          <w:p>
            <w:pPr>
              <w:pStyle w:val="35"/>
              <w:rPr>
                <w:rFonts w:ascii="宋体" w:hAnsi="宋体"/>
                <w:color w:val="auto"/>
              </w:rPr>
            </w:pPr>
            <w:r>
              <w:rPr>
                <w:rFonts w:hint="eastAsia" w:ascii="宋体" w:hAnsi="宋体"/>
                <w:color w:val="auto"/>
              </w:rPr>
              <w:t>资料</w:t>
            </w:r>
            <w:r>
              <w:rPr>
                <w:rFonts w:ascii="宋体" w:hAnsi="宋体"/>
                <w:color w:val="auto"/>
              </w:rPr>
              <w:t>所在</w:t>
            </w:r>
          </w:p>
          <w:p>
            <w:pPr>
              <w:pStyle w:val="35"/>
              <w:rPr>
                <w:rFonts w:ascii="宋体" w:hAnsi="宋体"/>
                <w:color w:val="auto"/>
              </w:rPr>
            </w:pPr>
            <w:r>
              <w:rPr>
                <w:rFonts w:ascii="宋体" w:hAnsi="宋体"/>
                <w:color w:val="auto"/>
              </w:rPr>
              <w:t>页码范围</w:t>
            </w:r>
          </w:p>
          <w:p>
            <w:pPr>
              <w:pStyle w:val="9"/>
              <w:ind w:firstLine="195"/>
              <w:rPr>
                <w:sz w:val="18"/>
                <w:szCs w:val="18"/>
              </w:rPr>
            </w:pPr>
            <w:r>
              <w:rPr>
                <w:rFonts w:hint="eastAsia" w:ascii="宋体" w:hAnsi="宋体" w:eastAsia="宋体" w:cs="Times New Roman"/>
                <w:b/>
                <w:sz w:val="18"/>
                <w:szCs w:val="18"/>
              </w:rPr>
              <w:t>（必填项）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7" w:hRule="atLeast"/>
          <w:jc w:val="center"/>
        </w:trPr>
        <w:tc>
          <w:tcPr>
            <w:tcW w:w="1554" w:type="dxa"/>
            <w:vMerge w:val="restart"/>
            <w:tcBorders>
              <w:top w:val="single" w:color="auto" w:sz="4" w:space="0"/>
              <w:left w:val="single" w:color="auto" w:sz="4" w:space="0"/>
              <w:right w:val="single" w:color="auto" w:sz="4" w:space="0"/>
            </w:tcBorders>
            <w:vAlign w:val="center"/>
          </w:tcPr>
          <w:p>
            <w:pPr>
              <w:spacing w:line="360" w:lineRule="auto"/>
              <w:ind w:left="-134" w:leftChars="-64" w:right="-105" w:rightChars="-50"/>
              <w:jc w:val="center"/>
              <w:rPr>
                <w:rFonts w:ascii="宋体" w:hAnsi="宋体"/>
                <w:b/>
                <w:bCs/>
              </w:rPr>
            </w:pPr>
            <w:r>
              <w:rPr>
                <w:rFonts w:hint="eastAsia" w:ascii="宋体" w:hAnsi="宋体"/>
                <w:b/>
              </w:rPr>
              <w:t>商务部分</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sz w:val="24"/>
                <w:szCs w:val="24"/>
              </w:rPr>
            </w:pPr>
            <w:r>
              <w:rPr>
                <w:rFonts w:hint="eastAsia" w:ascii="宋体" w:hAnsi="宋体" w:eastAsia="宋体" w:cs="宋体"/>
                <w:sz w:val="24"/>
                <w:szCs w:val="24"/>
                <w:lang w:eastAsia="zh-CN"/>
              </w:rPr>
              <w:t>同类</w:t>
            </w:r>
            <w:r>
              <w:rPr>
                <w:rFonts w:hint="eastAsia" w:ascii="宋体" w:hAnsi="宋体" w:eastAsia="宋体" w:cs="宋体"/>
                <w:sz w:val="24"/>
                <w:szCs w:val="24"/>
              </w:rPr>
              <w:t>项目业绩</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default"/>
                <w:b/>
                <w:sz w:val="24"/>
                <w:szCs w:val="24"/>
                <w:lang w:val="en-US"/>
              </w:rPr>
            </w:pPr>
            <w:r>
              <w:rPr>
                <w:rFonts w:hint="eastAsia" w:ascii="宋体" w:hAnsi="宋体" w:cs="宋体"/>
                <w:color w:val="000000"/>
                <w:sz w:val="24"/>
                <w:szCs w:val="24"/>
                <w:highlight w:val="none"/>
                <w:lang w:val="en-US" w:eastAsia="zh-CN"/>
              </w:rPr>
              <w:t>15</w:t>
            </w:r>
          </w:p>
        </w:tc>
        <w:tc>
          <w:tcPr>
            <w:tcW w:w="125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7" w:hRule="atLeast"/>
          <w:jc w:val="center"/>
        </w:trPr>
        <w:tc>
          <w:tcPr>
            <w:tcW w:w="1554" w:type="dxa"/>
            <w:vMerge w:val="continue"/>
            <w:tcBorders>
              <w:left w:val="single" w:color="auto" w:sz="4" w:space="0"/>
              <w:right w:val="single" w:color="auto" w:sz="4" w:space="0"/>
            </w:tcBorders>
            <w:vAlign w:val="center"/>
          </w:tcPr>
          <w:p>
            <w:pPr>
              <w:widowControl/>
              <w:spacing w:line="360" w:lineRule="auto"/>
              <w:ind w:left="-134" w:leftChars="-64" w:right="-105" w:rightChars="-50"/>
              <w:jc w:val="center"/>
              <w:rPr>
                <w:rFonts w:ascii="宋体" w:hAnsi="宋体"/>
                <w:b/>
                <w:bCs/>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2</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color w:val="auto"/>
                <w:sz w:val="24"/>
                <w:szCs w:val="24"/>
              </w:rPr>
            </w:pPr>
            <w:r>
              <w:rPr>
                <w:rFonts w:hint="eastAsia" w:ascii="宋体" w:hAnsi="宋体" w:eastAsia="宋体" w:cs="宋体"/>
                <w:sz w:val="24"/>
                <w:szCs w:val="24"/>
                <w:lang w:eastAsia="zh-CN"/>
              </w:rPr>
              <w:t>拟投入本项目人员</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default"/>
                <w:b/>
                <w:color w:val="auto"/>
                <w:sz w:val="24"/>
                <w:szCs w:val="24"/>
                <w:lang w:val="en-IE"/>
              </w:rPr>
            </w:pPr>
            <w:r>
              <w:rPr>
                <w:rFonts w:hint="eastAsia" w:ascii="宋体" w:hAnsi="宋体" w:cs="宋体"/>
                <w:color w:val="000000"/>
                <w:sz w:val="24"/>
                <w:szCs w:val="24"/>
                <w:highlight w:val="none"/>
                <w:lang w:val="en-US" w:eastAsia="zh-CN"/>
              </w:rPr>
              <w:t>9</w:t>
            </w:r>
          </w:p>
        </w:tc>
        <w:tc>
          <w:tcPr>
            <w:tcW w:w="125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7" w:hRule="atLeast"/>
          <w:jc w:val="center"/>
        </w:trPr>
        <w:tc>
          <w:tcPr>
            <w:tcW w:w="1554" w:type="dxa"/>
            <w:vMerge w:val="continue"/>
            <w:tcBorders>
              <w:left w:val="single" w:color="auto" w:sz="4" w:space="0"/>
              <w:right w:val="single" w:color="auto" w:sz="4" w:space="0"/>
            </w:tcBorders>
            <w:vAlign w:val="center"/>
          </w:tcPr>
          <w:p>
            <w:pPr>
              <w:widowControl/>
              <w:spacing w:line="360" w:lineRule="auto"/>
              <w:ind w:left="-134" w:leftChars="-64" w:right="-105" w:rightChars="-50"/>
              <w:jc w:val="center"/>
              <w:rPr>
                <w:rFonts w:ascii="宋体" w:hAnsi="宋体"/>
                <w:b/>
                <w:bCs/>
              </w:rPr>
            </w:pP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 w:val="24"/>
                <w:szCs w:val="24"/>
                <w:lang w:val="en-IE"/>
              </w:rPr>
            </w:pPr>
            <w:r>
              <w:rPr>
                <w:rFonts w:hint="default" w:ascii="宋体" w:hAnsi="宋体" w:cs="宋体"/>
                <w:sz w:val="24"/>
                <w:szCs w:val="24"/>
                <w:lang w:val="en-IE"/>
              </w:rPr>
              <w:t>3</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ascii="宋体" w:hAnsi="宋体" w:cs="宋体"/>
                <w:sz w:val="24"/>
                <w:szCs w:val="24"/>
              </w:rPr>
            </w:pPr>
            <w:r>
              <w:rPr>
                <w:rFonts w:hint="eastAsia" w:ascii="宋体" w:hAnsi="宋体" w:eastAsia="宋体" w:cs="宋体"/>
                <w:color w:val="000000"/>
                <w:kern w:val="0"/>
                <w:sz w:val="24"/>
                <w:szCs w:val="24"/>
              </w:rPr>
              <w:t>应急响应能力</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b/>
                <w:sz w:val="24"/>
                <w:szCs w:val="24"/>
              </w:rPr>
            </w:pPr>
            <w:r>
              <w:rPr>
                <w:rFonts w:hint="eastAsia" w:ascii="宋体" w:hAnsi="宋体" w:cs="宋体"/>
                <w:color w:val="000000"/>
                <w:sz w:val="24"/>
                <w:szCs w:val="24"/>
                <w:lang w:val="en-US" w:eastAsia="zh-CN"/>
              </w:rPr>
              <w:t>6</w:t>
            </w:r>
          </w:p>
        </w:tc>
        <w:tc>
          <w:tcPr>
            <w:tcW w:w="125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7" w:hRule="atLeast"/>
          <w:jc w:val="center"/>
        </w:trPr>
        <w:tc>
          <w:tcPr>
            <w:tcW w:w="1554" w:type="dxa"/>
            <w:vMerge w:val="restart"/>
            <w:tcBorders>
              <w:top w:val="single" w:color="auto" w:sz="4" w:space="0"/>
              <w:left w:val="single" w:color="auto" w:sz="4" w:space="0"/>
              <w:right w:val="single" w:color="auto" w:sz="4" w:space="0"/>
            </w:tcBorders>
            <w:vAlign w:val="center"/>
          </w:tcPr>
          <w:p>
            <w:pPr>
              <w:spacing w:line="360" w:lineRule="auto"/>
              <w:ind w:left="-134" w:leftChars="-64" w:right="-105" w:rightChars="-50"/>
              <w:jc w:val="center"/>
              <w:rPr>
                <w:rFonts w:ascii="宋体" w:hAnsi="宋体"/>
                <w:b/>
              </w:rPr>
            </w:pPr>
            <w:r>
              <w:rPr>
                <w:rFonts w:hint="eastAsia" w:ascii="宋体" w:hAnsi="宋体"/>
                <w:b/>
              </w:rPr>
              <w:t>技术部分</w:t>
            </w:r>
          </w:p>
        </w:tc>
        <w:tc>
          <w:tcPr>
            <w:tcW w:w="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宋体" w:hAnsi="宋体" w:cs="宋体"/>
                <w:sz w:val="24"/>
                <w:szCs w:val="24"/>
              </w:rPr>
            </w:pPr>
            <w:r>
              <w:rPr>
                <w:rFonts w:hint="eastAsia" w:ascii="宋体" w:hAnsi="宋体" w:cs="宋体"/>
                <w:sz w:val="24"/>
                <w:szCs w:val="24"/>
              </w:rPr>
              <w:t>1</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GB" w:eastAsia="zh-CN"/>
              </w:rPr>
              <w:t>整体</w:t>
            </w:r>
            <w:r>
              <w:rPr>
                <w:rFonts w:hint="eastAsia" w:ascii="宋体" w:hAnsi="宋体" w:eastAsia="宋体" w:cs="宋体"/>
                <w:sz w:val="24"/>
                <w:szCs w:val="24"/>
                <w:highlight w:val="none"/>
                <w:lang w:val="en-GB"/>
              </w:rPr>
              <w:t>施工方案</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default"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10</w:t>
            </w:r>
          </w:p>
        </w:tc>
        <w:tc>
          <w:tcPr>
            <w:tcW w:w="125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7" w:hRule="atLeast"/>
          <w:jc w:val="center"/>
        </w:trPr>
        <w:tc>
          <w:tcPr>
            <w:tcW w:w="1554" w:type="dxa"/>
            <w:vMerge w:val="continue"/>
            <w:tcBorders>
              <w:left w:val="single" w:color="auto" w:sz="4" w:space="0"/>
              <w:right w:val="single" w:color="auto" w:sz="4" w:space="0"/>
            </w:tcBorders>
            <w:vAlign w:val="center"/>
          </w:tcPr>
          <w:p>
            <w:pPr>
              <w:widowControl/>
              <w:spacing w:line="360" w:lineRule="auto"/>
              <w:ind w:left="-134" w:leftChars="-64" w:right="-105" w:rightChars="-50"/>
              <w:jc w:val="center"/>
              <w:rPr>
                <w:rFonts w:ascii="黑体" w:eastAsia="黑体"/>
              </w:rPr>
            </w:pPr>
          </w:p>
        </w:tc>
        <w:tc>
          <w:tcPr>
            <w:tcW w:w="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宋体" w:hAnsi="宋体" w:cs="宋体"/>
                <w:sz w:val="24"/>
                <w:szCs w:val="24"/>
              </w:rPr>
            </w:pPr>
            <w:r>
              <w:rPr>
                <w:rFonts w:hint="eastAsia" w:ascii="宋体" w:hAnsi="宋体" w:cs="宋体"/>
                <w:sz w:val="24"/>
                <w:szCs w:val="24"/>
              </w:rPr>
              <w:t>2</w:t>
            </w:r>
          </w:p>
        </w:tc>
        <w:tc>
          <w:tcPr>
            <w:tcW w:w="3401"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tabs>
                <w:tab w:val="center" w:pos="4153"/>
                <w:tab w:val="right" w:pos="8306"/>
              </w:tabs>
              <w:kinsoku/>
              <w:wordWrap/>
              <w:overflowPunct/>
              <w:topLinePunct w:val="0"/>
              <w:bidi w:val="0"/>
              <w:spacing w:line="360" w:lineRule="auto"/>
              <w:jc w:val="center"/>
              <w:textAlignment w:val="auto"/>
              <w:rPr>
                <w:rFonts w:hint="eastAsia" w:ascii="宋体" w:hAnsi="宋体" w:eastAsia="宋体" w:cs="宋体"/>
                <w:bCs/>
                <w:spacing w:val="10"/>
                <w:kern w:val="0"/>
                <w:sz w:val="24"/>
                <w:szCs w:val="24"/>
                <w:highlight w:val="none"/>
                <w:lang w:val="en-GB" w:eastAsia="zh-CN" w:bidi="ar-SA"/>
              </w:rPr>
            </w:pPr>
            <w:r>
              <w:rPr>
                <w:rFonts w:hint="eastAsia" w:ascii="宋体" w:hAnsi="宋体" w:eastAsia="宋体" w:cs="宋体"/>
                <w:sz w:val="24"/>
                <w:szCs w:val="24"/>
                <w:highlight w:val="none"/>
                <w:lang w:val="en-GB" w:eastAsia="zh-CN"/>
              </w:rPr>
              <w:t>进度控制方案</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default"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10</w:t>
            </w:r>
          </w:p>
        </w:tc>
        <w:tc>
          <w:tcPr>
            <w:tcW w:w="125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7" w:hRule="atLeast"/>
          <w:jc w:val="center"/>
        </w:trPr>
        <w:tc>
          <w:tcPr>
            <w:tcW w:w="1554" w:type="dxa"/>
            <w:vMerge w:val="continue"/>
            <w:tcBorders>
              <w:left w:val="single" w:color="auto" w:sz="4" w:space="0"/>
              <w:right w:val="single" w:color="auto" w:sz="4" w:space="0"/>
            </w:tcBorders>
            <w:vAlign w:val="center"/>
          </w:tcPr>
          <w:p>
            <w:pPr>
              <w:widowControl/>
              <w:spacing w:line="360" w:lineRule="auto"/>
              <w:ind w:left="-134" w:leftChars="-64" w:right="-105" w:rightChars="-50"/>
              <w:jc w:val="center"/>
              <w:rPr>
                <w:rFonts w:ascii="黑体" w:eastAsia="黑体"/>
              </w:rPr>
            </w:pPr>
          </w:p>
        </w:tc>
        <w:tc>
          <w:tcPr>
            <w:tcW w:w="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宋体" w:hAnsi="宋体" w:cs="宋体"/>
                <w:sz w:val="24"/>
                <w:szCs w:val="24"/>
              </w:rPr>
            </w:pPr>
            <w:r>
              <w:rPr>
                <w:rFonts w:hint="eastAsia" w:ascii="宋体" w:hAnsi="宋体" w:cs="宋体"/>
                <w:sz w:val="24"/>
                <w:szCs w:val="24"/>
              </w:rPr>
              <w:t>3</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工程施工重点难点认识</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default"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10</w:t>
            </w:r>
          </w:p>
        </w:tc>
        <w:tc>
          <w:tcPr>
            <w:tcW w:w="125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7" w:hRule="atLeast"/>
          <w:jc w:val="center"/>
        </w:trPr>
        <w:tc>
          <w:tcPr>
            <w:tcW w:w="1554" w:type="dxa"/>
            <w:vMerge w:val="continue"/>
            <w:tcBorders>
              <w:left w:val="single" w:color="auto" w:sz="4" w:space="0"/>
              <w:right w:val="single" w:color="auto" w:sz="4" w:space="0"/>
            </w:tcBorders>
            <w:vAlign w:val="center"/>
          </w:tcPr>
          <w:p>
            <w:pPr>
              <w:widowControl/>
              <w:spacing w:line="360" w:lineRule="auto"/>
              <w:ind w:left="-134" w:leftChars="-64" w:right="-105" w:rightChars="-50"/>
              <w:jc w:val="center"/>
              <w:rPr>
                <w:rFonts w:ascii="黑体" w:eastAsia="黑体"/>
              </w:rPr>
            </w:pPr>
          </w:p>
        </w:tc>
        <w:tc>
          <w:tcPr>
            <w:tcW w:w="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宋体" w:hAnsi="宋体" w:cs="宋体"/>
                <w:sz w:val="24"/>
                <w:szCs w:val="24"/>
              </w:rPr>
            </w:pPr>
            <w:r>
              <w:rPr>
                <w:rFonts w:hint="eastAsia" w:ascii="宋体" w:hAnsi="宋体" w:cs="宋体"/>
                <w:sz w:val="24"/>
                <w:szCs w:val="24"/>
              </w:rPr>
              <w:t>4</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eastAsia" w:ascii="宋体" w:hAnsi="宋体" w:eastAsia="宋体" w:cs="宋体"/>
                <w:bCs/>
                <w:spacing w:val="10"/>
                <w:kern w:val="0"/>
                <w:sz w:val="24"/>
                <w:szCs w:val="24"/>
                <w:highlight w:val="none"/>
                <w:lang w:val="en-US" w:eastAsia="zh-CN" w:bidi="ar-SA"/>
              </w:rPr>
            </w:pPr>
            <w:r>
              <w:rPr>
                <w:rFonts w:hint="eastAsia" w:ascii="宋体" w:hAnsi="宋体" w:eastAsia="宋体" w:cs="宋体"/>
                <w:bCs w:val="0"/>
                <w:spacing w:val="0"/>
                <w:kern w:val="2"/>
                <w:sz w:val="24"/>
                <w:szCs w:val="24"/>
                <w:highlight w:val="none"/>
                <w:lang w:val="en-GB" w:eastAsia="zh-CN"/>
              </w:rPr>
              <w:t>安全文明施工措施</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default" w:ascii="宋体" w:hAnsi="宋体" w:eastAsia="宋体" w:cs="宋体"/>
                <w:kern w:val="2"/>
                <w:sz w:val="24"/>
                <w:szCs w:val="24"/>
                <w:highlight w:val="none"/>
                <w:lang w:val="en-US" w:eastAsia="zh-CN" w:bidi="ar-SA"/>
              </w:rPr>
            </w:pPr>
            <w:r>
              <w:rPr>
                <w:rFonts w:hint="eastAsia" w:ascii="宋体" w:hAnsi="宋体" w:cs="宋体"/>
                <w:sz w:val="24"/>
                <w:szCs w:val="24"/>
                <w:highlight w:val="none"/>
                <w:lang w:val="en-US" w:eastAsia="zh-CN"/>
              </w:rPr>
              <w:t>10</w:t>
            </w:r>
          </w:p>
        </w:tc>
        <w:tc>
          <w:tcPr>
            <w:tcW w:w="125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7" w:hRule="atLeast"/>
          <w:jc w:val="center"/>
        </w:trPr>
        <w:tc>
          <w:tcPr>
            <w:tcW w:w="1554" w:type="dxa"/>
            <w:vMerge w:val="continue"/>
            <w:tcBorders>
              <w:left w:val="single" w:color="auto" w:sz="4" w:space="0"/>
              <w:right w:val="single" w:color="auto" w:sz="4" w:space="0"/>
            </w:tcBorders>
            <w:vAlign w:val="center"/>
          </w:tcPr>
          <w:p>
            <w:pPr>
              <w:widowControl/>
              <w:spacing w:line="360" w:lineRule="auto"/>
              <w:ind w:left="-134" w:leftChars="-64" w:right="-105" w:rightChars="-50"/>
              <w:jc w:val="center"/>
              <w:rPr>
                <w:rFonts w:ascii="黑体" w:eastAsia="黑体"/>
              </w:rPr>
            </w:pPr>
          </w:p>
        </w:tc>
        <w:tc>
          <w:tcPr>
            <w:tcW w:w="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3401"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tabs>
                <w:tab w:val="center" w:pos="4153"/>
                <w:tab w:val="right" w:pos="8306"/>
              </w:tabs>
              <w:kinsoku/>
              <w:wordWrap/>
              <w:overflowPunct/>
              <w:topLinePunct w:val="0"/>
              <w:bidi w:val="0"/>
              <w:spacing w:line="360" w:lineRule="auto"/>
              <w:jc w:val="center"/>
              <w:textAlignment w:val="auto"/>
              <w:rPr>
                <w:rFonts w:hint="eastAsia" w:ascii="宋体" w:hAnsi="宋体" w:eastAsia="宋体" w:cs="宋体"/>
                <w:sz w:val="24"/>
                <w:szCs w:val="24"/>
                <w:highlight w:val="none"/>
                <w:lang w:val="en-GB"/>
              </w:rPr>
            </w:pPr>
            <w:r>
              <w:rPr>
                <w:rFonts w:hint="eastAsia" w:ascii="宋体" w:hAnsi="宋体" w:eastAsia="宋体" w:cs="宋体"/>
                <w:sz w:val="24"/>
                <w:szCs w:val="24"/>
                <w:highlight w:val="none"/>
                <w:lang w:val="en-GB"/>
              </w:rPr>
              <w:t>质量保证措施</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60" w:lineRule="auto"/>
              <w:jc w:val="center"/>
              <w:textAlignment w:val="auto"/>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10</w:t>
            </w:r>
          </w:p>
        </w:tc>
        <w:tc>
          <w:tcPr>
            <w:tcW w:w="125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ind w:left="-134" w:leftChars="-64" w:right="-105" w:rightChars="-50"/>
              <w:jc w:val="center"/>
              <w:rPr>
                <w:b/>
              </w:rPr>
            </w:pPr>
          </w:p>
        </w:tc>
      </w:tr>
    </w:tbl>
    <w:p>
      <w:pPr>
        <w:sectPr>
          <w:pgSz w:w="11906" w:h="16838"/>
          <w:pgMar w:top="1134" w:right="1134" w:bottom="1134" w:left="1587" w:header="567" w:footer="737" w:gutter="0"/>
          <w:pgNumType w:fmt="decimal"/>
          <w:cols w:space="720" w:num="1"/>
          <w:docGrid w:type="lines" w:linePitch="312" w:charSpace="0"/>
        </w:sectPr>
      </w:pPr>
    </w:p>
    <w:p>
      <w:pPr>
        <w:pStyle w:val="3"/>
        <w:pageBreakBefore/>
        <w:rPr>
          <w:b w:val="0"/>
          <w:bCs/>
          <w:color w:val="auto"/>
          <w:sz w:val="52"/>
        </w:rPr>
        <w:sectPr>
          <w:pgSz w:w="11906" w:h="16838"/>
          <w:pgMar w:top="1134" w:right="1134" w:bottom="1134" w:left="1587" w:header="567" w:footer="737" w:gutter="0"/>
          <w:pgNumType w:fmt="decimal"/>
          <w:cols w:space="720" w:num="1"/>
          <w:docGrid w:type="lines" w:linePitch="312" w:charSpace="0"/>
        </w:sectPr>
      </w:pPr>
      <w:bookmarkStart w:id="1395" w:name="_Toc27536"/>
      <w:bookmarkStart w:id="1396" w:name="_Toc25698"/>
      <w:bookmarkStart w:id="1397" w:name="_Toc14556"/>
      <w:r>
        <w:rPr>
          <w:b w:val="0"/>
          <w:bCs/>
          <w:color w:val="auto"/>
          <w:sz w:val="52"/>
        </w:rPr>
        <w:fldChar w:fldCharType="begin"/>
      </w:r>
      <w:r>
        <w:rPr>
          <w:b w:val="0"/>
          <w:bCs/>
          <w:color w:val="auto"/>
          <w:sz w:val="52"/>
        </w:rPr>
        <w:instrText xml:space="preserve"> HYPERLINK  \l "_投标文件目录"</w:instrText>
      </w:r>
      <w:r>
        <w:rPr>
          <w:b w:val="0"/>
          <w:bCs/>
          <w:color w:val="auto"/>
          <w:sz w:val="52"/>
        </w:rPr>
        <w:fldChar w:fldCharType="separate"/>
      </w:r>
      <w:bookmarkStart w:id="1398" w:name="_Toc419106574"/>
      <w:bookmarkStart w:id="1399" w:name="_Toc113157430"/>
      <w:bookmarkStart w:id="1400" w:name="_Toc240108118"/>
      <w:bookmarkStart w:id="1401" w:name="_Toc259803671"/>
      <w:r>
        <w:rPr>
          <w:rFonts w:hint="eastAsia"/>
          <w:b w:val="0"/>
          <w:bCs/>
          <w:color w:val="auto"/>
          <w:sz w:val="52"/>
        </w:rPr>
        <w:t xml:space="preserve">第三章  </w:t>
      </w:r>
      <w:bookmarkStart w:id="1402" w:name="_Hlt113156969"/>
      <w:r>
        <w:rPr>
          <w:rFonts w:hint="eastAsia"/>
          <w:b w:val="0"/>
          <w:bCs/>
          <w:color w:val="auto"/>
          <w:sz w:val="52"/>
        </w:rPr>
        <w:t>商</w:t>
      </w:r>
      <w:bookmarkEnd w:id="1402"/>
      <w:r>
        <w:rPr>
          <w:rFonts w:hint="eastAsia"/>
          <w:b w:val="0"/>
          <w:bCs/>
          <w:color w:val="auto"/>
          <w:sz w:val="52"/>
        </w:rPr>
        <w:t>务部</w:t>
      </w:r>
      <w:bookmarkStart w:id="1403" w:name="_Hlt112738997"/>
      <w:r>
        <w:rPr>
          <w:rFonts w:hint="eastAsia"/>
          <w:b w:val="0"/>
          <w:bCs/>
          <w:color w:val="auto"/>
          <w:sz w:val="52"/>
        </w:rPr>
        <w:t>分</w:t>
      </w:r>
      <w:bookmarkEnd w:id="1398"/>
      <w:bookmarkEnd w:id="1399"/>
      <w:bookmarkEnd w:id="1400"/>
      <w:bookmarkEnd w:id="1401"/>
      <w:bookmarkEnd w:id="1403"/>
      <w:r>
        <w:rPr>
          <w:b w:val="0"/>
          <w:bCs/>
          <w:color w:val="auto"/>
          <w:sz w:val="52"/>
        </w:rPr>
        <w:fldChar w:fldCharType="end"/>
      </w:r>
      <w:bookmarkEnd w:id="1395"/>
      <w:bookmarkEnd w:id="1396"/>
      <w:bookmarkEnd w:id="1397"/>
    </w:p>
    <w:p>
      <w:pPr>
        <w:pStyle w:val="4"/>
        <w:pageBreakBefore/>
        <w:numPr>
          <w:ilvl w:val="0"/>
          <w:numId w:val="29"/>
        </w:numPr>
        <w:spacing w:afterLines="0"/>
        <w:rPr>
          <w:rFonts w:ascii="Times New Roman" w:hAnsi="Times New Roman"/>
          <w:color w:val="auto"/>
          <w:sz w:val="36"/>
          <w:szCs w:val="36"/>
        </w:rPr>
      </w:pPr>
      <w:bookmarkStart w:id="1404" w:name="_企业综合概况"/>
      <w:bookmarkEnd w:id="1404"/>
      <w:bookmarkStart w:id="1405" w:name="_企业综合概况与计划"/>
      <w:bookmarkEnd w:id="1405"/>
      <w:bookmarkStart w:id="1406" w:name="_商务条款响应表"/>
      <w:bookmarkEnd w:id="1406"/>
      <w:bookmarkStart w:id="1407" w:name="_Toc27246"/>
      <w:bookmarkStart w:id="1408" w:name="_Toc29933"/>
      <w:bookmarkStart w:id="1409" w:name="_Toc11846"/>
      <w:bookmarkStart w:id="1410" w:name="_Toc22717"/>
      <w:bookmarkStart w:id="1411" w:name="_Toc16505"/>
      <w:bookmarkStart w:id="1412" w:name="_Toc19018"/>
      <w:bookmarkStart w:id="1413" w:name="_Toc27540"/>
      <w:bookmarkStart w:id="1414" w:name="_Toc136662944"/>
      <w:bookmarkStart w:id="1415" w:name="_Toc159385079"/>
      <w:bookmarkStart w:id="1416" w:name="_Toc119321155"/>
      <w:bookmarkStart w:id="1417" w:name="_Toc108234926"/>
      <w:bookmarkStart w:id="1418" w:name="_Toc136682920"/>
      <w:r>
        <w:rPr>
          <w:rFonts w:ascii="Times New Roman" w:hAnsi="Times New Roman"/>
          <w:color w:val="auto"/>
          <w:sz w:val="36"/>
          <w:szCs w:val="36"/>
        </w:rPr>
        <w:fldChar w:fldCharType="begin"/>
      </w:r>
      <w:r>
        <w:rPr>
          <w:rFonts w:hint="eastAsia" w:ascii="Times New Roman" w:hAnsi="Times New Roman"/>
          <w:color w:val="auto"/>
          <w:sz w:val="36"/>
          <w:szCs w:val="36"/>
        </w:rPr>
        <w:instrText xml:space="preserve">DOCVARIABLE  商务条款响应表开始  \* MERGEFORMAT</w:instrText>
      </w:r>
      <w:r>
        <w:rPr>
          <w:rFonts w:ascii="Times New Roman" w:hAnsi="Times New Roman"/>
          <w:color w:val="auto"/>
          <w:sz w:val="36"/>
          <w:szCs w:val="36"/>
        </w:rPr>
        <w:fldChar w:fldCharType="end"/>
      </w:r>
      <w:bookmarkStart w:id="1419" w:name="_Toc419106575"/>
      <w:r>
        <w:rPr>
          <w:rFonts w:hint="eastAsia" w:ascii="Times New Roman" w:hAnsi="Times New Roman"/>
          <w:color w:val="auto"/>
          <w:sz w:val="36"/>
          <w:szCs w:val="36"/>
        </w:rPr>
        <w:t>商务条款响应表</w:t>
      </w:r>
      <w:bookmarkEnd w:id="1407"/>
      <w:bookmarkEnd w:id="1408"/>
      <w:bookmarkEnd w:id="1409"/>
      <w:bookmarkEnd w:id="1410"/>
      <w:bookmarkEnd w:id="1411"/>
      <w:bookmarkEnd w:id="1412"/>
      <w:bookmarkEnd w:id="1413"/>
      <w:bookmarkEnd w:id="1419"/>
    </w:p>
    <w:tbl>
      <w:tblPr>
        <w:tblStyle w:val="24"/>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338"/>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8" w:hRule="atLeast"/>
          <w:tblHeader/>
          <w:jc w:val="center"/>
        </w:trPr>
        <w:tc>
          <w:tcPr>
            <w:tcW w:w="8783" w:type="dxa"/>
            <w:gridSpan w:val="3"/>
            <w:tcBorders>
              <w:top w:val="single" w:color="auto" w:sz="4" w:space="0"/>
              <w:left w:val="single" w:color="auto" w:sz="4" w:space="0"/>
              <w:bottom w:val="single" w:color="auto" w:sz="4" w:space="0"/>
              <w:right w:val="single" w:color="auto" w:sz="4" w:space="0"/>
            </w:tcBorders>
            <w:shd w:val="clear" w:color="auto" w:fill="F3F3F3"/>
            <w:vAlign w:val="center"/>
          </w:tcPr>
          <w:p>
            <w:pPr>
              <w:rPr>
                <w:rFonts w:ascii="宋体" w:hAnsi="宋体" w:cs="宋体"/>
                <w:b/>
                <w:bCs/>
              </w:rPr>
            </w:pPr>
            <w:r>
              <w:rPr>
                <w:rFonts w:hint="eastAsia" w:ascii="宋体" w:hAnsi="宋体" w:cs="宋体"/>
                <w:b/>
              </w:rPr>
              <w:t>一、商务条款响应情况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blHeader/>
          <w:jc w:val="center"/>
        </w:trPr>
        <w:tc>
          <w:tcPr>
            <w:tcW w:w="648" w:type="dxa"/>
            <w:tcBorders>
              <w:top w:val="single" w:color="auto" w:sz="4" w:space="0"/>
              <w:left w:val="single" w:color="auto" w:sz="4" w:space="0"/>
              <w:bottom w:val="single" w:color="auto" w:sz="4" w:space="0"/>
              <w:right w:val="single" w:color="auto" w:sz="4" w:space="0"/>
            </w:tcBorders>
            <w:shd w:val="clear" w:color="auto" w:fill="F3F3F3"/>
            <w:vAlign w:val="center"/>
          </w:tcPr>
          <w:p>
            <w:pPr>
              <w:rPr>
                <w:rFonts w:ascii="宋体" w:hAnsi="宋体" w:cs="宋体"/>
                <w:b/>
                <w:bCs/>
              </w:rPr>
            </w:pPr>
            <w:r>
              <w:rPr>
                <w:rFonts w:hint="eastAsia" w:ascii="宋体" w:hAnsi="宋体" w:cs="宋体"/>
                <w:b/>
                <w:bCs/>
              </w:rPr>
              <w:t>序号</w:t>
            </w:r>
          </w:p>
        </w:tc>
        <w:tc>
          <w:tcPr>
            <w:tcW w:w="6338" w:type="dxa"/>
            <w:tcBorders>
              <w:top w:val="single" w:color="auto" w:sz="4" w:space="0"/>
              <w:left w:val="single" w:color="auto" w:sz="4" w:space="0"/>
              <w:bottom w:val="single" w:color="auto" w:sz="4" w:space="0"/>
              <w:right w:val="single" w:color="auto" w:sz="4" w:space="0"/>
            </w:tcBorders>
            <w:shd w:val="clear" w:color="auto" w:fill="F3F3F3"/>
            <w:vAlign w:val="center"/>
          </w:tcPr>
          <w:p>
            <w:pPr>
              <w:jc w:val="center"/>
              <w:rPr>
                <w:rFonts w:ascii="宋体" w:hAnsi="宋体" w:cs="宋体"/>
                <w:b/>
                <w:bCs/>
              </w:rPr>
            </w:pPr>
            <w:r>
              <w:rPr>
                <w:rFonts w:hint="eastAsia" w:ascii="宋体" w:hAnsi="宋体" w:cs="宋体"/>
                <w:b/>
                <w:bCs/>
              </w:rPr>
              <w:t>主要商务条款</w:t>
            </w:r>
          </w:p>
        </w:tc>
        <w:tc>
          <w:tcPr>
            <w:tcW w:w="1797" w:type="dxa"/>
            <w:tcBorders>
              <w:top w:val="single" w:color="auto" w:sz="4" w:space="0"/>
              <w:left w:val="single" w:color="auto" w:sz="4" w:space="0"/>
              <w:bottom w:val="single" w:color="auto" w:sz="4" w:space="0"/>
              <w:right w:val="single" w:color="auto" w:sz="4" w:space="0"/>
            </w:tcBorders>
            <w:shd w:val="clear" w:color="auto" w:fill="F3F3F3"/>
            <w:vAlign w:val="center"/>
          </w:tcPr>
          <w:p>
            <w:pPr>
              <w:jc w:val="center"/>
              <w:rPr>
                <w:rFonts w:ascii="宋体" w:hAnsi="宋体" w:cs="宋体"/>
                <w:b/>
                <w:bCs/>
              </w:rPr>
            </w:pPr>
            <w:r>
              <w:rPr>
                <w:rFonts w:hint="eastAsia" w:ascii="宋体" w:hAnsi="宋体" w:cs="宋体"/>
                <w:b/>
                <w:bCs/>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30"/>
              </w:numPr>
              <w:jc w:val="center"/>
              <w:rPr>
                <w:rFonts w:ascii="宋体" w:hAnsi="宋体" w:cs="宋体"/>
              </w:rPr>
            </w:pPr>
          </w:p>
        </w:tc>
        <w:tc>
          <w:tcPr>
            <w:tcW w:w="63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完全理解并接受对合格供应商要求</w:t>
            </w:r>
          </w:p>
        </w:tc>
        <w:tc>
          <w:tcPr>
            <w:tcW w:w="17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30"/>
              </w:numPr>
              <w:jc w:val="center"/>
              <w:rPr>
                <w:rFonts w:ascii="宋体" w:hAnsi="宋体" w:cs="宋体"/>
              </w:rPr>
            </w:pPr>
          </w:p>
        </w:tc>
        <w:tc>
          <w:tcPr>
            <w:tcW w:w="63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完全理解并接受对供应商的各项须知、规约要求和责任义务</w:t>
            </w:r>
          </w:p>
        </w:tc>
        <w:tc>
          <w:tcPr>
            <w:tcW w:w="17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30"/>
              </w:numPr>
              <w:jc w:val="center"/>
              <w:rPr>
                <w:rFonts w:ascii="宋体" w:hAnsi="宋体" w:cs="宋体"/>
              </w:rPr>
            </w:pPr>
          </w:p>
        </w:tc>
        <w:tc>
          <w:tcPr>
            <w:tcW w:w="63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同意接受合同范本所列述的各项条款</w:t>
            </w:r>
          </w:p>
        </w:tc>
        <w:tc>
          <w:tcPr>
            <w:tcW w:w="17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30"/>
              </w:numPr>
              <w:jc w:val="center"/>
              <w:rPr>
                <w:rFonts w:ascii="宋体" w:hAnsi="宋体" w:cs="宋体"/>
              </w:rPr>
            </w:pPr>
          </w:p>
        </w:tc>
        <w:tc>
          <w:tcPr>
            <w:tcW w:w="63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同意按本项目要求缴付相关款项</w:t>
            </w:r>
          </w:p>
        </w:tc>
        <w:tc>
          <w:tcPr>
            <w:tcW w:w="17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30"/>
              </w:numPr>
              <w:jc w:val="center"/>
              <w:rPr>
                <w:rFonts w:ascii="宋体" w:hAnsi="宋体" w:cs="宋体"/>
              </w:rPr>
            </w:pPr>
          </w:p>
        </w:tc>
        <w:tc>
          <w:tcPr>
            <w:tcW w:w="633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rPr>
            </w:pPr>
            <w:r>
              <w:rPr>
                <w:rFonts w:hint="eastAsia" w:ascii="宋体" w:hAnsi="宋体" w:cs="宋体"/>
                <w:b/>
              </w:rPr>
              <w:t>采购文件中的全部商务条款均能完全响应（非</w:t>
            </w:r>
            <w:r>
              <w:rPr>
                <w:rFonts w:hint="eastAsia" w:ascii="宋体" w:hAnsi="宋体" w:cs="宋体"/>
                <w:b/>
                <w:color w:val="000000"/>
                <w:szCs w:val="21"/>
                <w:lang w:val="en-GB"/>
              </w:rPr>
              <w:t>★</w:t>
            </w:r>
            <w:r>
              <w:rPr>
                <w:rFonts w:hint="eastAsia" w:ascii="宋体" w:hAnsi="宋体" w:cs="宋体"/>
                <w:b/>
              </w:rPr>
              <w:t>）</w:t>
            </w:r>
          </w:p>
        </w:tc>
        <w:tc>
          <w:tcPr>
            <w:tcW w:w="17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30"/>
              </w:numPr>
              <w:jc w:val="center"/>
              <w:rPr>
                <w:rFonts w:ascii="宋体" w:hAnsi="宋体" w:cs="宋体"/>
              </w:rPr>
            </w:pPr>
          </w:p>
        </w:tc>
        <w:tc>
          <w:tcPr>
            <w:tcW w:w="633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rPr>
            </w:pPr>
            <w:r>
              <w:rPr>
                <w:rFonts w:hint="eastAsia" w:ascii="宋体" w:hAnsi="宋体" w:cs="宋体"/>
              </w:rPr>
              <w:t>同意接受采购方发布的补充通知中各项商务要求（如有）</w:t>
            </w:r>
          </w:p>
        </w:tc>
        <w:tc>
          <w:tcPr>
            <w:tcW w:w="17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30"/>
              </w:numPr>
              <w:jc w:val="center"/>
              <w:rPr>
                <w:rFonts w:ascii="宋体" w:hAnsi="宋体" w:cs="宋体"/>
              </w:rPr>
            </w:pPr>
          </w:p>
        </w:tc>
        <w:tc>
          <w:tcPr>
            <w:tcW w:w="633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rPr>
            </w:pPr>
            <w:r>
              <w:rPr>
                <w:rFonts w:hint="eastAsia" w:ascii="宋体" w:hAnsi="宋体" w:cs="宋体"/>
              </w:rPr>
              <w:t>同意采购方以任何形式对我方提供的商务部分内容的真实性和有效性进行公开审查验证</w:t>
            </w:r>
          </w:p>
        </w:tc>
        <w:tc>
          <w:tcPr>
            <w:tcW w:w="17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783"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pPr>
              <w:rPr>
                <w:rFonts w:ascii="宋体" w:hAnsi="宋体" w:cs="宋体"/>
              </w:rPr>
            </w:pPr>
            <w:r>
              <w:rPr>
                <w:rFonts w:hint="eastAsia" w:ascii="宋体" w:hAnsi="宋体" w:cs="宋体"/>
                <w:b/>
              </w:rPr>
              <w:t>二、商务条款偏离情况说明（如有）：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78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r>
    </w:tbl>
    <w:p>
      <w:pPr>
        <w:rPr>
          <w:b/>
        </w:rPr>
      </w:pPr>
    </w:p>
    <w:p/>
    <w:p>
      <w:pPr>
        <w:ind w:left="840" w:hanging="840" w:hangingChars="400"/>
        <w:rPr>
          <w:rFonts w:ascii="宋体" w:hAnsi="宋体" w:cs="宋体"/>
        </w:rPr>
      </w:pPr>
      <w:r>
        <w:rPr>
          <w:rFonts w:hint="eastAsia" w:ascii="宋体" w:hAnsi="宋体" w:cs="宋体"/>
        </w:rPr>
        <w:t>填表要求：</w:t>
      </w:r>
    </w:p>
    <w:p>
      <w:pPr>
        <w:rPr>
          <w:rFonts w:ascii="宋体" w:hAnsi="宋体" w:cs="宋体"/>
        </w:rPr>
      </w:pPr>
      <w:r>
        <w:rPr>
          <w:rFonts w:hint="eastAsia" w:ascii="宋体" w:hAnsi="宋体" w:cs="宋体"/>
        </w:rPr>
        <w:t>1、响应栏内空白及打“√”表示完全响应；打“×”视为偏离，请在“商务条款偏离情况说明”栏中扼要说明偏离情况。</w:t>
      </w:r>
    </w:p>
    <w:p>
      <w:pPr>
        <w:rPr>
          <w:rFonts w:hint="eastAsia" w:ascii="宋体" w:hAnsi="宋体" w:cs="宋体"/>
        </w:rPr>
      </w:pPr>
      <w:r>
        <w:rPr>
          <w:rFonts w:hint="eastAsia" w:ascii="宋体" w:hAnsi="宋体" w:cs="宋体"/>
        </w:rPr>
        <w:t>2、本文件中有“★”标注项为不可负偏离(劣于)的重要项。</w:t>
      </w:r>
    </w:p>
    <w:p>
      <w:pPr>
        <w:rPr>
          <w:rFonts w:ascii="宋体" w:hAnsi="宋体" w:cs="宋体"/>
        </w:rPr>
      </w:pPr>
      <w:r>
        <w:rPr>
          <w:rFonts w:hint="eastAsia" w:ascii="宋体" w:hAnsi="宋体" w:cs="宋体"/>
          <w:lang w:val="en-US" w:eastAsia="zh-CN"/>
        </w:rPr>
        <w:t>3</w:t>
      </w:r>
      <w:r>
        <w:rPr>
          <w:rFonts w:hint="eastAsia" w:ascii="宋体" w:hAnsi="宋体" w:cs="宋体"/>
        </w:rPr>
        <w:t>、若上述商务条款内容与“采购项目商务要求”列述不一致时，均以“采购项目商务要求”详细内容为准。</w:t>
      </w:r>
    </w:p>
    <w:p>
      <w:pPr>
        <w:rPr>
          <w:rFonts w:ascii="宋体" w:hAnsi="宋体" w:cs="宋体"/>
        </w:rPr>
      </w:pPr>
      <w:r>
        <w:rPr>
          <w:rFonts w:hint="eastAsia" w:ascii="宋体" w:hAnsi="宋体" w:cs="宋体"/>
          <w:lang w:val="en-US" w:eastAsia="zh-CN"/>
        </w:rPr>
        <w:t>4</w:t>
      </w:r>
      <w:r>
        <w:rPr>
          <w:rFonts w:hint="eastAsia" w:ascii="宋体" w:hAnsi="宋体" w:cs="宋体"/>
        </w:rPr>
        <w:t>、本表内容不得擅自删改。</w:t>
      </w:r>
    </w:p>
    <w:p/>
    <w:p>
      <w:pPr>
        <w:spacing w:line="480" w:lineRule="auto"/>
        <w:rPr>
          <w:b/>
          <w:sz w:val="24"/>
        </w:rPr>
      </w:pPr>
      <w:r>
        <w:rPr>
          <w:rFonts w:hint="eastAsia"/>
          <w:b/>
          <w:sz w:val="24"/>
        </w:rPr>
        <w:t>供应商名称：</w:t>
      </w:r>
      <w:r>
        <w:rPr>
          <w:rFonts w:hint="eastAsia"/>
          <w:b/>
          <w:sz w:val="24"/>
          <w:u w:val="single"/>
        </w:rPr>
        <w:t xml:space="preserve">        （全称）           </w:t>
      </w:r>
      <w:r>
        <w:rPr>
          <w:rFonts w:hint="eastAsia"/>
          <w:b/>
          <w:sz w:val="24"/>
        </w:rPr>
        <w:t xml:space="preserve"> （公章）</w:t>
      </w:r>
    </w:p>
    <w:p/>
    <w:p/>
    <w:p/>
    <w:p/>
    <w:p/>
    <w:p/>
    <w:p/>
    <w:p/>
    <w:p/>
    <w:p>
      <w:pPr>
        <w:jc w:val="both"/>
        <w:rPr>
          <w:sz w:val="36"/>
          <w:szCs w:val="36"/>
        </w:rPr>
      </w:pPr>
      <w:bookmarkStart w:id="1420" w:name="_Toc6064"/>
      <w:bookmarkStart w:id="1421" w:name="_Toc7343"/>
      <w:bookmarkStart w:id="1422" w:name="_Toc18968"/>
      <w:bookmarkStart w:id="1423" w:name="_Toc32660"/>
      <w:bookmarkStart w:id="1424" w:name="_Toc419106576"/>
    </w:p>
    <w:p>
      <w:pPr>
        <w:rPr>
          <w:rFonts w:ascii="Times New Roman" w:hAnsi="Times New Roman"/>
          <w:color w:val="auto"/>
          <w:sz w:val="36"/>
          <w:szCs w:val="36"/>
        </w:rPr>
      </w:pPr>
      <w:bookmarkStart w:id="1425" w:name="_Toc7068"/>
      <w:bookmarkStart w:id="1426" w:name="_Toc19090"/>
      <w:r>
        <w:rPr>
          <w:rFonts w:hint="eastAsia" w:ascii="Times New Roman" w:hAnsi="Times New Roman"/>
          <w:color w:val="auto"/>
          <w:sz w:val="36"/>
          <w:szCs w:val="36"/>
        </w:rPr>
        <w:br w:type="page"/>
      </w:r>
    </w:p>
    <w:p>
      <w:pPr>
        <w:pStyle w:val="4"/>
        <w:pageBreakBefore/>
        <w:spacing w:afterLines="0"/>
        <w:ind w:left="284"/>
        <w:rPr>
          <w:rFonts w:ascii="Times New Roman" w:hAnsi="Times New Roman"/>
          <w:color w:val="auto"/>
          <w:sz w:val="36"/>
          <w:szCs w:val="36"/>
        </w:rPr>
      </w:pPr>
      <w:bookmarkStart w:id="1427" w:name="_Toc3789"/>
      <w:bookmarkStart w:id="1428" w:name="_Toc809"/>
      <w:bookmarkStart w:id="1429" w:name="_Toc26306"/>
      <w:bookmarkStart w:id="1430" w:name="_Toc32121"/>
      <w:r>
        <w:rPr>
          <w:rFonts w:hint="eastAsia" w:ascii="Times New Roman" w:hAnsi="Times New Roman"/>
          <w:color w:val="auto"/>
          <w:sz w:val="36"/>
          <w:szCs w:val="36"/>
          <w:lang w:val="en-GB"/>
        </w:rPr>
        <w:t>“★”项</w:t>
      </w:r>
      <w:r>
        <w:rPr>
          <w:rFonts w:hint="eastAsia" w:ascii="Times New Roman" w:hAnsi="Times New Roman"/>
          <w:color w:val="auto"/>
          <w:sz w:val="36"/>
          <w:szCs w:val="36"/>
        </w:rPr>
        <w:t>商务条款响应表</w:t>
      </w:r>
      <w:bookmarkEnd w:id="1427"/>
      <w:bookmarkEnd w:id="1428"/>
      <w:bookmarkEnd w:id="1429"/>
      <w:bookmarkEnd w:id="1430"/>
    </w:p>
    <w:tbl>
      <w:tblPr>
        <w:tblStyle w:val="24"/>
        <w:tblW w:w="9807" w:type="dxa"/>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541"/>
        <w:gridCol w:w="1301"/>
        <w:gridCol w:w="4933"/>
        <w:gridCol w:w="1247"/>
        <w:gridCol w:w="1785"/>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89" w:hRule="atLeast"/>
          <w:jc w:val="center"/>
        </w:trPr>
        <w:tc>
          <w:tcPr>
            <w:tcW w:w="541"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sz w:val="21"/>
                <w:szCs w:val="21"/>
              </w:rPr>
            </w:pPr>
            <w:r>
              <w:rPr>
                <w:b/>
                <w:sz w:val="21"/>
                <w:szCs w:val="21"/>
              </w:rPr>
              <w:t>序号</w:t>
            </w:r>
          </w:p>
        </w:tc>
        <w:tc>
          <w:tcPr>
            <w:tcW w:w="1301"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b/>
                <w:sz w:val="21"/>
                <w:szCs w:val="21"/>
              </w:rPr>
            </w:pPr>
            <w:r>
              <w:rPr>
                <w:b/>
                <w:sz w:val="21"/>
                <w:szCs w:val="21"/>
              </w:rPr>
              <w:t>商务条款</w:t>
            </w:r>
          </w:p>
        </w:tc>
        <w:tc>
          <w:tcPr>
            <w:tcW w:w="4933"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sz w:val="21"/>
                <w:szCs w:val="21"/>
              </w:rPr>
            </w:pPr>
            <w:r>
              <w:rPr>
                <w:b/>
                <w:sz w:val="21"/>
                <w:szCs w:val="21"/>
              </w:rPr>
              <w:t>要求</w:t>
            </w:r>
          </w:p>
        </w:tc>
        <w:tc>
          <w:tcPr>
            <w:tcW w:w="1247"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hint="eastAsia" w:eastAsia="宋体"/>
                <w:b/>
                <w:sz w:val="21"/>
                <w:szCs w:val="21"/>
                <w:lang w:eastAsia="zh-CN"/>
              </w:rPr>
            </w:pPr>
            <w:r>
              <w:rPr>
                <w:rFonts w:hint="eastAsia"/>
                <w:b/>
                <w:sz w:val="21"/>
                <w:szCs w:val="21"/>
                <w:lang w:eastAsia="zh-CN"/>
              </w:rPr>
              <w:t>是否偏离</w:t>
            </w:r>
          </w:p>
        </w:tc>
        <w:tc>
          <w:tcPr>
            <w:tcW w:w="1785"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hint="eastAsia" w:eastAsia="宋体"/>
                <w:b/>
                <w:sz w:val="21"/>
                <w:szCs w:val="21"/>
                <w:lang w:eastAsia="zh-CN"/>
              </w:rPr>
            </w:pPr>
            <w:r>
              <w:rPr>
                <w:rFonts w:hint="eastAsia"/>
                <w:b/>
                <w:sz w:val="21"/>
                <w:szCs w:val="21"/>
                <w:lang w:eastAsia="zh-CN"/>
              </w:rPr>
              <w:t>偏离简述</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35" w:hRule="atLeast"/>
          <w:jc w:val="center"/>
        </w:trPr>
        <w:tc>
          <w:tcPr>
            <w:tcW w:w="541"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ascii="宋体" w:hAnsi="宋体" w:cs="宋体"/>
                <w:bCs/>
                <w:sz w:val="21"/>
                <w:szCs w:val="21"/>
              </w:rPr>
            </w:pPr>
            <w:r>
              <w:rPr>
                <w:rFonts w:hint="eastAsia" w:ascii="宋体" w:hAnsi="宋体" w:cs="宋体"/>
                <w:bCs/>
                <w:sz w:val="21"/>
                <w:szCs w:val="21"/>
              </w:rPr>
              <w:t>1</w:t>
            </w:r>
          </w:p>
        </w:tc>
        <w:tc>
          <w:tcPr>
            <w:tcW w:w="1301"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hint="eastAsia" w:ascii="宋体" w:hAnsi="宋体" w:cs="宋体"/>
                <w:b/>
                <w:sz w:val="21"/>
                <w:szCs w:val="21"/>
              </w:rPr>
            </w:pPr>
            <w:r>
              <w:rPr>
                <w:rFonts w:hint="eastAsia" w:ascii="宋体" w:hAnsi="宋体" w:cs="宋体"/>
                <w:b/>
                <w:sz w:val="21"/>
                <w:szCs w:val="21"/>
              </w:rPr>
              <w:t>项目采购预算</w:t>
            </w:r>
          </w:p>
          <w:p>
            <w:pPr>
              <w:adjustRightInd w:val="0"/>
              <w:snapToGrid w:val="0"/>
              <w:spacing w:line="360" w:lineRule="auto"/>
              <w:jc w:val="center"/>
              <w:rPr>
                <w:sz w:val="21"/>
                <w:szCs w:val="21"/>
              </w:rPr>
            </w:pPr>
            <w:r>
              <w:rPr>
                <w:rFonts w:hint="eastAsia" w:ascii="宋体" w:hAnsi="宋体" w:cs="宋体"/>
                <w:b/>
                <w:sz w:val="21"/>
                <w:szCs w:val="21"/>
                <w:lang w:eastAsia="zh-CN"/>
              </w:rPr>
              <w:t>（最高限价）</w:t>
            </w:r>
          </w:p>
        </w:tc>
        <w:tc>
          <w:tcPr>
            <w:tcW w:w="493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eastAsia="宋体"/>
                <w:b/>
                <w:sz w:val="21"/>
                <w:szCs w:val="21"/>
                <w:lang w:val="en-US" w:eastAsia="zh-CN"/>
              </w:rPr>
            </w:pPr>
            <w:r>
              <w:rPr>
                <w:rFonts w:hint="default" w:eastAsia="宋体"/>
                <w:b/>
                <w:sz w:val="21"/>
                <w:szCs w:val="21"/>
                <w:lang w:val="en-US" w:eastAsia="zh-CN"/>
              </w:rPr>
              <w:t>人民币￥176,516.38元</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eastAsia="宋体"/>
                <w:b/>
                <w:sz w:val="21"/>
                <w:szCs w:val="21"/>
                <w:lang w:val="en-US" w:eastAsia="zh-CN"/>
              </w:rPr>
            </w:pPr>
            <w:r>
              <w:rPr>
                <w:rFonts w:hint="default" w:eastAsia="宋体"/>
                <w:b/>
                <w:sz w:val="21"/>
                <w:szCs w:val="21"/>
                <w:lang w:val="en-US" w:eastAsia="zh-CN"/>
              </w:rPr>
              <w:t>大写：</w:t>
            </w:r>
            <w:r>
              <w:rPr>
                <w:rFonts w:hint="default" w:eastAsia="宋体"/>
                <w:b/>
                <w:sz w:val="21"/>
                <w:szCs w:val="21"/>
                <w:u w:val="single"/>
                <w:lang w:val="en-US" w:eastAsia="zh-CN"/>
              </w:rPr>
              <w:t>人民币壹拾柒万陆仟伍佰壹拾陆元叁角捌分</w:t>
            </w:r>
          </w:p>
        </w:tc>
        <w:tc>
          <w:tcPr>
            <w:tcW w:w="1247"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left"/>
              <w:rPr>
                <w:rFonts w:hint="eastAsia" w:ascii="宋体" w:hAnsi="宋体" w:cs="宋体"/>
                <w:b/>
                <w:bCs/>
                <w:sz w:val="21"/>
                <w:szCs w:val="21"/>
              </w:rPr>
            </w:pPr>
          </w:p>
        </w:tc>
        <w:tc>
          <w:tcPr>
            <w:tcW w:w="1785"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left"/>
              <w:rPr>
                <w:rFonts w:hint="eastAsia" w:ascii="宋体" w:hAnsi="宋体" w:cs="宋体"/>
                <w:b/>
                <w:bCs/>
                <w:sz w:val="21"/>
                <w:szCs w:val="21"/>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94" w:hRule="atLeast"/>
          <w:jc w:val="center"/>
        </w:trPr>
        <w:tc>
          <w:tcPr>
            <w:tcW w:w="541"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ascii="宋体" w:hAnsi="宋体" w:cs="宋体"/>
                <w:sz w:val="21"/>
                <w:szCs w:val="21"/>
              </w:rPr>
            </w:pPr>
            <w:r>
              <w:rPr>
                <w:rFonts w:hint="eastAsia" w:ascii="宋体" w:hAnsi="宋体" w:cs="宋体"/>
                <w:sz w:val="21"/>
                <w:szCs w:val="21"/>
              </w:rPr>
              <w:t>2</w:t>
            </w:r>
          </w:p>
        </w:tc>
        <w:tc>
          <w:tcPr>
            <w:tcW w:w="1301"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ascii="宋体" w:hAnsi="宋体" w:cs="宋体"/>
                <w:b/>
                <w:sz w:val="21"/>
                <w:szCs w:val="21"/>
                <w:highlight w:val="none"/>
              </w:rPr>
            </w:pPr>
            <w:r>
              <w:rPr>
                <w:rFonts w:hint="eastAsia" w:ascii="宋体" w:hAnsi="宋体" w:cs="宋体"/>
                <w:b/>
                <w:sz w:val="21"/>
                <w:szCs w:val="21"/>
                <w:highlight w:val="none"/>
              </w:rPr>
              <w:t>报价要求</w:t>
            </w:r>
          </w:p>
        </w:tc>
        <w:tc>
          <w:tcPr>
            <w:tcW w:w="493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sz w:val="21"/>
                <w:szCs w:val="21"/>
                <w:lang w:eastAsia="zh-CN"/>
              </w:rPr>
            </w:pPr>
            <w:r>
              <w:rPr>
                <w:rFonts w:hint="eastAsia"/>
                <w:sz w:val="21"/>
                <w:szCs w:val="21"/>
                <w:lang w:eastAsia="zh-CN"/>
              </w:rPr>
              <w:t>（1）报价不得高于本项目采购预算及最高限价。</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sz w:val="21"/>
                <w:szCs w:val="21"/>
                <w:lang w:eastAsia="zh-CN"/>
              </w:rPr>
            </w:pPr>
            <w:r>
              <w:rPr>
                <w:rFonts w:hint="eastAsia"/>
                <w:sz w:val="21"/>
                <w:szCs w:val="21"/>
                <w:lang w:eastAsia="zh-CN"/>
              </w:rPr>
              <w:t>（2）报价方式为广东省佛山市目的地竣工验收交付价。</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sz w:val="21"/>
                <w:szCs w:val="21"/>
                <w:lang w:eastAsia="zh-CN"/>
              </w:rPr>
            </w:pPr>
            <w:r>
              <w:rPr>
                <w:rFonts w:hint="eastAsia"/>
                <w:sz w:val="21"/>
                <w:szCs w:val="21"/>
                <w:lang w:eastAsia="zh-CN"/>
              </w:rPr>
              <w:t>（3）报价中必须包含货物及零配件的购置和安装、工程实施、施工场地勘查费、运输保险、垃圾清运、装卸、工地管理及水电费、办理施工报建和报验手续、材料检验费、质保期售后服务及质量保修期间的维修保养费用、雇员费用、税费、合理利润、风险费用及合同签订过程中可预见和不可预见费用。</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sz w:val="21"/>
                <w:szCs w:val="21"/>
                <w:lang w:eastAsia="zh-CN"/>
              </w:rPr>
            </w:pPr>
            <w:r>
              <w:rPr>
                <w:rFonts w:hint="eastAsia"/>
                <w:sz w:val="21"/>
                <w:szCs w:val="21"/>
                <w:lang w:eastAsia="zh-CN"/>
              </w:rPr>
              <w:t>（4）绿色施工安全防护措施费￥</w:t>
            </w:r>
            <w:r>
              <w:rPr>
                <w:rFonts w:hint="eastAsia"/>
                <w:sz w:val="21"/>
                <w:szCs w:val="21"/>
                <w:u w:val="single"/>
                <w:lang w:eastAsia="zh-CN"/>
              </w:rPr>
              <w:t xml:space="preserve"> 5880.90 </w:t>
            </w:r>
            <w:r>
              <w:rPr>
                <w:rFonts w:hint="eastAsia"/>
                <w:sz w:val="21"/>
                <w:szCs w:val="21"/>
                <w:lang w:eastAsia="zh-CN"/>
              </w:rPr>
              <w:t>元为不可竞争费用，供应商在报价中必须包含且不得更改该金额，否则投标无效。</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sz w:val="21"/>
                <w:szCs w:val="21"/>
                <w:lang w:eastAsia="zh-CN"/>
              </w:rPr>
            </w:pPr>
            <w:r>
              <w:rPr>
                <w:rFonts w:hint="eastAsia"/>
                <w:sz w:val="21"/>
                <w:szCs w:val="21"/>
                <w:lang w:eastAsia="zh-CN"/>
              </w:rPr>
              <w:t>（5）供应商必须自行考虑本项目在实施期间的一切可能产生的费用。在合同执行过程中，采购人将不再另行支付与本项目相关的任何费用（非本项目要求的其它内容除外）。</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sz w:val="21"/>
                <w:szCs w:val="21"/>
                <w:lang w:eastAsia="zh-CN"/>
              </w:rPr>
            </w:pPr>
            <w:r>
              <w:rPr>
                <w:rFonts w:hint="eastAsia"/>
                <w:sz w:val="21"/>
                <w:szCs w:val="21"/>
                <w:lang w:eastAsia="zh-CN"/>
              </w:rPr>
              <w:t>（6）最终报价形式（第二次报价即为最终报价）：只报总价，且最终报价总价不得高于首次报价的总价。最终报价中的绿色施工安全防护措施费及暂列金为首次的报价金额固定不变，供应商报价时充分考虑该风险因素。</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sz w:val="21"/>
                <w:szCs w:val="21"/>
                <w:lang w:eastAsia="zh-CN"/>
              </w:rPr>
            </w:pPr>
            <w:r>
              <w:rPr>
                <w:rFonts w:hint="eastAsia"/>
                <w:sz w:val="21"/>
                <w:szCs w:val="21"/>
                <w:lang w:eastAsia="zh-CN"/>
              </w:rPr>
              <w:t>（7）如最终报价较首次报价有优惠的，其中绿色施工安全防护措施费、暂列金等不可竞争费的不进行调整。其余各工程量清单项目的单价取首次报价时的单价乘以相应的优惠系数为准。</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sz w:val="21"/>
                <w:szCs w:val="21"/>
                <w:lang w:eastAsia="zh-CN"/>
              </w:rPr>
            </w:pPr>
            <w:r>
              <w:rPr>
                <w:rFonts w:hint="eastAsia"/>
                <w:sz w:val="21"/>
                <w:szCs w:val="21"/>
                <w:lang w:eastAsia="zh-CN"/>
              </w:rPr>
              <w:t>优惠系数=(最后报价-不可竞争费)÷(首次报价-不可竞争费)最终综合单价=首次报价时的项目单价×优惠系数</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sz w:val="21"/>
                <w:szCs w:val="21"/>
                <w:lang w:eastAsia="zh-CN"/>
              </w:rPr>
            </w:pPr>
            <w:r>
              <w:rPr>
                <w:rFonts w:hint="eastAsia"/>
                <w:sz w:val="21"/>
                <w:szCs w:val="21"/>
                <w:lang w:eastAsia="zh-CN"/>
              </w:rPr>
              <w:t>说明：调整后的单价和总价均保留2位小数，调整后已标价工程量清单计算总额与最后报价一致，每项单价的调整比例忽略千分位后的细微差值。</w:t>
            </w:r>
          </w:p>
        </w:tc>
        <w:tc>
          <w:tcPr>
            <w:tcW w:w="1247"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left"/>
              <w:rPr>
                <w:rFonts w:hint="eastAsia" w:ascii="宋体" w:hAnsi="宋体" w:eastAsia="宋体" w:cs="宋体"/>
                <w:sz w:val="21"/>
                <w:szCs w:val="21"/>
                <w:lang w:eastAsia="zh-CN"/>
              </w:rPr>
            </w:pPr>
          </w:p>
        </w:tc>
        <w:tc>
          <w:tcPr>
            <w:tcW w:w="1785"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left"/>
              <w:rPr>
                <w:rFonts w:hint="eastAsia" w:ascii="宋体" w:hAnsi="宋体" w:eastAsia="宋体" w:cs="宋体"/>
                <w:sz w:val="21"/>
                <w:szCs w:val="21"/>
                <w:lang w:eastAsia="zh-CN"/>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24" w:hRule="atLeast"/>
          <w:jc w:val="center"/>
        </w:trPr>
        <w:tc>
          <w:tcPr>
            <w:tcW w:w="541"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ascii="宋体" w:hAnsi="宋体" w:cs="宋体"/>
                <w:sz w:val="21"/>
                <w:szCs w:val="21"/>
              </w:rPr>
            </w:pPr>
            <w:r>
              <w:rPr>
                <w:rFonts w:hint="eastAsia" w:ascii="宋体" w:hAnsi="宋体" w:cs="宋体"/>
                <w:sz w:val="21"/>
                <w:szCs w:val="21"/>
              </w:rPr>
              <w:t>3</w:t>
            </w:r>
          </w:p>
        </w:tc>
        <w:tc>
          <w:tcPr>
            <w:tcW w:w="1301"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hint="eastAsia" w:ascii="宋体" w:hAnsi="宋体" w:cs="宋体"/>
                <w:b/>
                <w:sz w:val="21"/>
                <w:szCs w:val="21"/>
                <w:lang w:eastAsia="zh-CN"/>
              </w:rPr>
            </w:pPr>
            <w:r>
              <w:rPr>
                <w:rFonts w:hint="eastAsia" w:ascii="宋体" w:hAnsi="宋体" w:cs="宋体"/>
                <w:b/>
                <w:sz w:val="21"/>
                <w:szCs w:val="21"/>
                <w:lang w:eastAsia="zh-CN"/>
              </w:rPr>
              <w:t>施工地点</w:t>
            </w:r>
          </w:p>
        </w:tc>
        <w:tc>
          <w:tcPr>
            <w:tcW w:w="493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采购人（用户）指定地点。</w:t>
            </w:r>
          </w:p>
        </w:tc>
        <w:tc>
          <w:tcPr>
            <w:tcW w:w="1247"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left"/>
              <w:rPr>
                <w:rFonts w:hint="eastAsia" w:ascii="宋体" w:hAnsi="宋体" w:eastAsia="宋体" w:cs="宋体"/>
                <w:sz w:val="21"/>
                <w:szCs w:val="21"/>
                <w:lang w:eastAsia="zh-CN"/>
              </w:rPr>
            </w:pPr>
          </w:p>
        </w:tc>
        <w:tc>
          <w:tcPr>
            <w:tcW w:w="1785"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left"/>
              <w:rPr>
                <w:rFonts w:hint="eastAsia" w:ascii="宋体" w:hAnsi="宋体" w:eastAsia="宋体" w:cs="宋体"/>
                <w:sz w:val="21"/>
                <w:szCs w:val="21"/>
                <w:lang w:eastAsia="zh-CN"/>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24" w:hRule="atLeast"/>
          <w:jc w:val="center"/>
        </w:trPr>
        <w:tc>
          <w:tcPr>
            <w:tcW w:w="541"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ascii="宋体" w:hAnsi="宋体" w:cs="宋体"/>
                <w:sz w:val="21"/>
                <w:szCs w:val="21"/>
              </w:rPr>
            </w:pPr>
            <w:r>
              <w:rPr>
                <w:rFonts w:hint="eastAsia" w:ascii="宋体" w:hAnsi="宋体" w:cs="宋体"/>
                <w:sz w:val="21"/>
                <w:szCs w:val="21"/>
              </w:rPr>
              <w:t>4</w:t>
            </w:r>
          </w:p>
        </w:tc>
        <w:tc>
          <w:tcPr>
            <w:tcW w:w="1301"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hint="eastAsia" w:ascii="宋体" w:hAnsi="宋体" w:cs="宋体"/>
                <w:b/>
                <w:sz w:val="21"/>
                <w:szCs w:val="21"/>
                <w:lang w:eastAsia="zh-CN"/>
              </w:rPr>
            </w:pPr>
            <w:r>
              <w:rPr>
                <w:rFonts w:hint="eastAsia" w:ascii="宋体" w:hAnsi="宋体" w:cs="宋体"/>
                <w:b/>
                <w:sz w:val="21"/>
                <w:szCs w:val="21"/>
                <w:highlight w:val="none"/>
                <w:lang w:eastAsia="zh-CN"/>
              </w:rPr>
              <w:t>工期</w:t>
            </w:r>
          </w:p>
        </w:tc>
        <w:tc>
          <w:tcPr>
            <w:tcW w:w="493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bCs/>
                <w:sz w:val="21"/>
                <w:szCs w:val="21"/>
              </w:rPr>
            </w:pPr>
            <w:r>
              <w:rPr>
                <w:rFonts w:hint="eastAsia" w:ascii="宋体" w:hAnsi="宋体" w:eastAsia="宋体" w:cs="宋体"/>
                <w:sz w:val="21"/>
                <w:szCs w:val="21"/>
                <w:lang w:val="en-US" w:eastAsia="zh-CN"/>
              </w:rPr>
              <w:t>合同生效后20天内完成工作并验收合格</w:t>
            </w:r>
            <w:r>
              <w:rPr>
                <w:rFonts w:hint="eastAsia" w:ascii="宋体" w:hAnsi="宋体" w:cs="宋体"/>
                <w:sz w:val="21"/>
                <w:szCs w:val="21"/>
                <w:lang w:val="en-US" w:eastAsia="zh-CN"/>
              </w:rPr>
              <w:t>。</w:t>
            </w:r>
          </w:p>
        </w:tc>
        <w:tc>
          <w:tcPr>
            <w:tcW w:w="1247"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rPr>
                <w:rFonts w:hint="eastAsia" w:ascii="宋体" w:hAnsi="宋体" w:cs="宋体"/>
                <w:spacing w:val="1"/>
                <w:sz w:val="21"/>
                <w:szCs w:val="21"/>
                <w:highlight w:val="none"/>
              </w:rPr>
            </w:pPr>
          </w:p>
        </w:tc>
        <w:tc>
          <w:tcPr>
            <w:tcW w:w="1785"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rPr>
                <w:rFonts w:hint="eastAsia" w:ascii="宋体" w:hAnsi="宋体" w:cs="宋体"/>
                <w:spacing w:val="1"/>
                <w:sz w:val="21"/>
                <w:szCs w:val="21"/>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383" w:hRule="atLeast"/>
          <w:jc w:val="center"/>
        </w:trPr>
        <w:tc>
          <w:tcPr>
            <w:tcW w:w="541"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5</w:t>
            </w:r>
          </w:p>
        </w:tc>
        <w:tc>
          <w:tcPr>
            <w:tcW w:w="1301" w:type="dxa"/>
            <w:tcBorders>
              <w:top w:val="outset" w:color="auto" w:sz="6" w:space="0"/>
              <w:left w:val="outset" w:color="auto" w:sz="6" w:space="0"/>
              <w:bottom w:val="outset" w:color="auto" w:sz="6" w:space="0"/>
              <w:right w:val="outset" w:color="auto" w:sz="6" w:space="0"/>
            </w:tcBorders>
            <w:vAlign w:val="center"/>
          </w:tcPr>
          <w:p>
            <w:pPr>
              <w:adjustRightInd w:val="0"/>
              <w:spacing w:line="360" w:lineRule="auto"/>
              <w:jc w:val="center"/>
              <w:rPr>
                <w:rFonts w:ascii="宋体" w:hAnsi="宋体" w:cs="宋体"/>
                <w:b/>
                <w:bCs/>
                <w:sz w:val="21"/>
                <w:szCs w:val="21"/>
              </w:rPr>
            </w:pPr>
            <w:r>
              <w:rPr>
                <w:rFonts w:hint="eastAsia" w:ascii="Times New Roman" w:hAnsi="Times New Roman" w:eastAsia="宋体" w:cs="Times New Roman"/>
                <w:b/>
                <w:bCs/>
                <w:color w:val="000000"/>
                <w:kern w:val="2"/>
                <w:sz w:val="21"/>
                <w:szCs w:val="21"/>
                <w:highlight w:val="none"/>
                <w:lang w:val="en-US" w:eastAsia="zh-CN" w:bidi="ar-SA"/>
              </w:rPr>
              <w:t>付款方式</w:t>
            </w:r>
          </w:p>
        </w:tc>
        <w:tc>
          <w:tcPr>
            <w:tcW w:w="493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（1）合同生效后，工程安装调试完毕并交付验收合格，且结算审核完成，结算价经双方确认后，支付至结算总价的100%。</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（2）工程最终结算价格以发包人委托的第三方出具的造价审定书为准。</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（3）工程竣工报告经发包人认可后28天内，承包人向发包人递交竣工结算报告及完整的结算资料，双方按照本合同约定的合同价款内容及相关价款调整方式，进行工程竣工结算。</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（4）发包人收到承包人递交的竣工结算报告及结算资料后30天内进行审核，出具最终工程造价审定书。发包人收到竣工结算价款后按造价审定书结算价支付工程其余款项。</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宋体"/>
                <w:sz w:val="21"/>
                <w:szCs w:val="21"/>
                <w:lang w:val="en-US" w:eastAsia="zh-CN"/>
              </w:rPr>
            </w:pPr>
          </w:p>
        </w:tc>
        <w:tc>
          <w:tcPr>
            <w:tcW w:w="1247"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left"/>
              <w:rPr>
                <w:rFonts w:hint="eastAsia" w:ascii="宋体" w:hAnsi="宋体" w:eastAsia="宋体" w:cs="宋体"/>
                <w:sz w:val="21"/>
                <w:szCs w:val="21"/>
                <w:lang w:val="en-US" w:eastAsia="zh-CN"/>
              </w:rPr>
            </w:pPr>
          </w:p>
        </w:tc>
        <w:tc>
          <w:tcPr>
            <w:tcW w:w="1785"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left"/>
              <w:rPr>
                <w:rFonts w:hint="eastAsia" w:ascii="宋体" w:hAnsi="宋体" w:eastAsia="宋体" w:cs="宋体"/>
                <w:sz w:val="21"/>
                <w:szCs w:val="21"/>
                <w:lang w:val="en-US" w:eastAsia="zh-CN"/>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03" w:hRule="atLeast"/>
          <w:jc w:val="center"/>
        </w:trPr>
        <w:tc>
          <w:tcPr>
            <w:tcW w:w="541"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hint="eastAsia" w:ascii="宋体" w:hAnsi="宋体" w:eastAsia="宋体" w:cs="宋体"/>
                <w:sz w:val="21"/>
                <w:szCs w:val="21"/>
                <w:lang w:eastAsia="zh-CN"/>
              </w:rPr>
            </w:pPr>
            <w:r>
              <w:rPr>
                <w:rFonts w:hint="eastAsia" w:ascii="宋体" w:hAnsi="宋体" w:cs="宋体"/>
                <w:sz w:val="21"/>
                <w:szCs w:val="21"/>
                <w:lang w:val="en-US" w:eastAsia="zh-CN"/>
              </w:rPr>
              <w:t>6</w:t>
            </w:r>
          </w:p>
        </w:tc>
        <w:tc>
          <w:tcPr>
            <w:tcW w:w="1301" w:type="dxa"/>
            <w:tcBorders>
              <w:top w:val="outset" w:color="auto" w:sz="6" w:space="0"/>
              <w:left w:val="outset" w:color="auto" w:sz="6" w:space="0"/>
              <w:bottom w:val="outset" w:color="auto" w:sz="6" w:space="0"/>
              <w:right w:val="outset" w:color="auto" w:sz="6" w:space="0"/>
            </w:tcBorders>
            <w:vAlign w:val="center"/>
          </w:tcPr>
          <w:p>
            <w:pPr>
              <w:pStyle w:val="89"/>
              <w:spacing w:line="276" w:lineRule="auto"/>
              <w:jc w:val="center"/>
              <w:rPr>
                <w:b/>
                <w:bCs/>
                <w:color w:val="000000"/>
                <w:sz w:val="21"/>
                <w:szCs w:val="21"/>
                <w:highlight w:val="white"/>
              </w:rPr>
            </w:pPr>
            <w:r>
              <w:rPr>
                <w:rFonts w:hint="eastAsia"/>
                <w:b/>
                <w:bCs/>
                <w:color w:val="000000"/>
                <w:sz w:val="21"/>
                <w:szCs w:val="21"/>
                <w:highlight w:val="white"/>
              </w:rPr>
              <w:t>付款要求</w:t>
            </w:r>
          </w:p>
        </w:tc>
        <w:tc>
          <w:tcPr>
            <w:tcW w:w="493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（1）成交供应商每次申请付款前应向采购人提供依法纳税的发票。</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（2）合同款以转账方式转入成交供应商的银行账户。</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（3）收款方、出具发票方、合同乙方均必须与成交供应商名称一致。</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（4）采购人签署验收确认书及申办每期拨款手续均可在7个工作日内完成，合同款是市财政局国库支付中心直接支付给成交供应商，“付款”是指采购人向主管部门发出申请付款文件。</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成交供应商应理解采购人付款的相关程序，因采购人使用的是财政资金，采购人在前款规定的付款时间为向财政支付部门提出办理财政支付申请手续的时间，不含财政支付部门审核的时间，采购人在约定期限内向财政支付部门发出付款申请即视为采购人已按期支付。因财政支付审批流程及办理手续而造成项目支付进度有所推延，采购人不承担逾期付款违约责任。</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（6）因政府财政部门跨年国库关闸、年底封账，不能按约定时间办理支付进度款，成交供应商可提前办理申请手续；若因此导致逾期付款，采购人不承担逾期付款违约责任。</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（7）本合同实施过程中,所发生的一切税费及不可预见费均由成交供应商承担。</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（7）本合同实施过程中,所发生的一切税费及不可预见费均由</w:t>
            </w:r>
            <w:r>
              <w:rPr>
                <w:rFonts w:hint="eastAsia" w:ascii="宋体" w:hAnsi="宋体" w:cs="宋体"/>
                <w:sz w:val="21"/>
                <w:szCs w:val="21"/>
                <w:lang w:val="en-US" w:eastAsia="zh-CN"/>
              </w:rPr>
              <w:t>成交供应商</w:t>
            </w:r>
            <w:r>
              <w:rPr>
                <w:rFonts w:hint="eastAsia" w:ascii="宋体" w:hAnsi="宋体" w:eastAsia="宋体" w:cs="宋体"/>
                <w:sz w:val="21"/>
                <w:szCs w:val="21"/>
                <w:lang w:val="en-US" w:eastAsia="zh-CN"/>
              </w:rPr>
              <w:t>承担。</w:t>
            </w:r>
          </w:p>
        </w:tc>
        <w:tc>
          <w:tcPr>
            <w:tcW w:w="1247"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left"/>
              <w:rPr>
                <w:rFonts w:hint="eastAsia" w:ascii="宋体" w:hAnsi="宋体" w:eastAsia="宋体" w:cs="宋体"/>
                <w:sz w:val="21"/>
                <w:szCs w:val="21"/>
                <w:lang w:val="en-US" w:eastAsia="zh-CN"/>
              </w:rPr>
            </w:pPr>
          </w:p>
        </w:tc>
        <w:tc>
          <w:tcPr>
            <w:tcW w:w="1785"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left"/>
              <w:rPr>
                <w:rFonts w:hint="eastAsia" w:ascii="宋体" w:hAnsi="宋体" w:eastAsia="宋体" w:cs="宋体"/>
                <w:sz w:val="21"/>
                <w:szCs w:val="21"/>
                <w:lang w:val="en-US" w:eastAsia="zh-CN"/>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037" w:hRule="atLeast"/>
          <w:jc w:val="center"/>
        </w:trPr>
        <w:tc>
          <w:tcPr>
            <w:tcW w:w="541"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center"/>
              <w:rPr>
                <w:rFonts w:hint="default" w:ascii="宋体" w:hAnsi="宋体" w:cs="宋体"/>
                <w:sz w:val="21"/>
                <w:szCs w:val="21"/>
                <w:lang w:val="en-US" w:eastAsia="zh-CN"/>
              </w:rPr>
            </w:pPr>
            <w:r>
              <w:rPr>
                <w:rFonts w:hint="eastAsia" w:ascii="宋体" w:hAnsi="宋体" w:cs="宋体"/>
                <w:sz w:val="21"/>
                <w:szCs w:val="21"/>
                <w:lang w:val="en-US" w:eastAsia="zh-CN"/>
              </w:rPr>
              <w:t>7</w:t>
            </w:r>
          </w:p>
        </w:tc>
        <w:tc>
          <w:tcPr>
            <w:tcW w:w="1301" w:type="dxa"/>
            <w:tcBorders>
              <w:top w:val="outset" w:color="auto" w:sz="6" w:space="0"/>
              <w:left w:val="outset" w:color="auto" w:sz="6" w:space="0"/>
              <w:bottom w:val="outset" w:color="auto" w:sz="6" w:space="0"/>
              <w:right w:val="outset" w:color="auto" w:sz="6" w:space="0"/>
            </w:tcBorders>
            <w:vAlign w:val="center"/>
          </w:tcPr>
          <w:p>
            <w:pPr>
              <w:pStyle w:val="89"/>
              <w:spacing w:line="276" w:lineRule="auto"/>
              <w:jc w:val="center"/>
              <w:rPr>
                <w:rFonts w:hint="eastAsia" w:eastAsia="宋体"/>
                <w:b/>
                <w:bCs/>
                <w:color w:val="000000"/>
                <w:sz w:val="21"/>
                <w:szCs w:val="21"/>
                <w:highlight w:val="none"/>
                <w:lang w:eastAsia="zh-CN"/>
              </w:rPr>
            </w:pPr>
            <w:r>
              <w:rPr>
                <w:rFonts w:hint="eastAsia"/>
                <w:b/>
                <w:bCs/>
                <w:color w:val="000000"/>
                <w:sz w:val="21"/>
                <w:szCs w:val="21"/>
                <w:highlight w:val="none"/>
                <w:lang w:eastAsia="zh-CN"/>
              </w:rPr>
              <w:t>结算方式</w:t>
            </w:r>
          </w:p>
        </w:tc>
        <w:tc>
          <w:tcPr>
            <w:tcW w:w="493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固定综合单价合同，工程结算造价以成交的综合单价和实际完成的工程量（须经</w:t>
            </w:r>
            <w:r>
              <w:rPr>
                <w:rFonts w:hint="eastAsia" w:ascii="宋体" w:hAnsi="宋体" w:cs="宋体"/>
                <w:sz w:val="21"/>
                <w:szCs w:val="21"/>
                <w:highlight w:val="none"/>
                <w:lang w:eastAsia="zh-CN"/>
              </w:rPr>
              <w:t>采购人</w:t>
            </w:r>
            <w:r>
              <w:rPr>
                <w:rFonts w:hint="eastAsia" w:ascii="宋体" w:hAnsi="宋体" w:eastAsia="宋体" w:cs="宋体"/>
                <w:sz w:val="21"/>
                <w:szCs w:val="21"/>
                <w:highlight w:val="none"/>
                <w:lang w:eastAsia="zh-CN"/>
              </w:rPr>
              <w:t>确认）为依据计算。</w:t>
            </w:r>
          </w:p>
        </w:tc>
        <w:tc>
          <w:tcPr>
            <w:tcW w:w="1247"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left"/>
              <w:rPr>
                <w:rFonts w:hint="eastAsia" w:ascii="宋体" w:hAnsi="宋体" w:eastAsia="宋体" w:cs="宋体"/>
                <w:sz w:val="21"/>
                <w:szCs w:val="21"/>
                <w:highlight w:val="none"/>
                <w:lang w:eastAsia="zh-CN"/>
              </w:rPr>
            </w:pPr>
          </w:p>
        </w:tc>
        <w:tc>
          <w:tcPr>
            <w:tcW w:w="1785"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auto"/>
              <w:jc w:val="left"/>
              <w:rPr>
                <w:rFonts w:hint="eastAsia" w:ascii="宋体" w:hAnsi="宋体" w:eastAsia="宋体" w:cs="宋体"/>
                <w:sz w:val="21"/>
                <w:szCs w:val="21"/>
                <w:highlight w:val="none"/>
                <w:lang w:eastAsia="zh-CN"/>
              </w:rPr>
            </w:pPr>
          </w:p>
        </w:tc>
      </w:tr>
    </w:tbl>
    <w:p>
      <w:pPr>
        <w:pStyle w:val="75"/>
        <w:keepNext w:val="0"/>
        <w:keepLines w:val="0"/>
        <w:pageBreakBefore w:val="0"/>
        <w:widowControl w:val="0"/>
        <w:kinsoku/>
        <w:wordWrap/>
        <w:overflowPunct/>
        <w:topLinePunct w:val="0"/>
        <w:autoSpaceDE/>
        <w:autoSpaceDN/>
        <w:bidi w:val="0"/>
        <w:adjustRightInd/>
        <w:snapToGrid/>
        <w:spacing w:line="240" w:lineRule="auto"/>
        <w:ind w:left="840" w:hanging="840"/>
        <w:textAlignment w:val="auto"/>
        <w:rPr>
          <w:color w:val="000000"/>
          <w:sz w:val="21"/>
          <w:szCs w:val="21"/>
          <w:lang w:val="en-GB"/>
        </w:rPr>
      </w:pPr>
      <w:r>
        <w:rPr>
          <w:rFonts w:hint="eastAsia"/>
          <w:color w:val="000000"/>
          <w:sz w:val="21"/>
          <w:szCs w:val="21"/>
          <w:lang w:val="en-GB"/>
        </w:rPr>
        <w:t>填表要求：</w:t>
      </w:r>
    </w:p>
    <w:p>
      <w:pPr>
        <w:pStyle w:val="76"/>
        <w:keepNext w:val="0"/>
        <w:keepLines w:val="0"/>
        <w:pageBreakBefore w:val="0"/>
        <w:widowControl w:val="0"/>
        <w:numPr>
          <w:ilvl w:val="0"/>
          <w:numId w:val="31"/>
        </w:numPr>
        <w:kinsoku/>
        <w:wordWrap/>
        <w:overflowPunct/>
        <w:topLinePunct w:val="0"/>
        <w:autoSpaceDE/>
        <w:autoSpaceDN/>
        <w:bidi w:val="0"/>
        <w:adjustRightInd/>
        <w:snapToGrid/>
        <w:spacing w:line="240" w:lineRule="auto"/>
        <w:textAlignment w:val="auto"/>
        <w:rPr>
          <w:rFonts w:hint="eastAsia" w:ascii="Times New Roman" w:hAnsi="宋体"/>
          <w:color w:val="000000"/>
          <w:sz w:val="21"/>
          <w:szCs w:val="21"/>
          <w:lang w:val="en-GB" w:eastAsia="zh-CN"/>
        </w:rPr>
      </w:pPr>
      <w:r>
        <w:rPr>
          <w:rFonts w:hint="eastAsia" w:ascii="Times New Roman" w:hAnsi="宋体"/>
          <w:color w:val="000000"/>
          <w:sz w:val="21"/>
          <w:szCs w:val="21"/>
          <w:lang w:val="en-GB" w:eastAsia="zh-CN"/>
        </w:rPr>
        <w:t>供应商应对所列条款一一予以响应，在“是否偏离”栏注明无偏离、正偏离或负偏离。若存在偏离，请在“偏离简述”栏中扼要说明正偏离或负偏离情况。</w:t>
      </w:r>
    </w:p>
    <w:p>
      <w:pPr>
        <w:pStyle w:val="76"/>
        <w:keepNext w:val="0"/>
        <w:keepLines w:val="0"/>
        <w:pageBreakBefore w:val="0"/>
        <w:widowControl w:val="0"/>
        <w:numPr>
          <w:ilvl w:val="0"/>
          <w:numId w:val="31"/>
        </w:numPr>
        <w:kinsoku/>
        <w:wordWrap/>
        <w:overflowPunct/>
        <w:topLinePunct w:val="0"/>
        <w:autoSpaceDE/>
        <w:autoSpaceDN/>
        <w:bidi w:val="0"/>
        <w:adjustRightInd/>
        <w:snapToGrid/>
        <w:spacing w:line="240" w:lineRule="auto"/>
        <w:textAlignment w:val="auto"/>
        <w:rPr>
          <w:rFonts w:hint="eastAsia" w:ascii="Times New Roman" w:hAnsi="宋体"/>
          <w:color w:val="000000"/>
          <w:sz w:val="21"/>
          <w:szCs w:val="21"/>
          <w:lang w:val="en-GB" w:eastAsia="zh-CN"/>
        </w:rPr>
      </w:pPr>
      <w:r>
        <w:rPr>
          <w:rFonts w:hint="eastAsia" w:ascii="Times New Roman" w:hAnsi="宋体"/>
          <w:color w:val="000000"/>
          <w:sz w:val="21"/>
          <w:szCs w:val="21"/>
          <w:lang w:val="en-GB" w:eastAsia="zh-CN"/>
        </w:rPr>
        <w:t>如供应商未填写偏离情况的，均视为不响应。</w:t>
      </w:r>
    </w:p>
    <w:p>
      <w:pPr>
        <w:pStyle w:val="76"/>
        <w:keepNext w:val="0"/>
        <w:keepLines w:val="0"/>
        <w:pageBreakBefore w:val="0"/>
        <w:widowControl w:val="0"/>
        <w:numPr>
          <w:ilvl w:val="0"/>
          <w:numId w:val="31"/>
        </w:numPr>
        <w:kinsoku/>
        <w:wordWrap/>
        <w:overflowPunct/>
        <w:topLinePunct w:val="0"/>
        <w:autoSpaceDE/>
        <w:autoSpaceDN/>
        <w:bidi w:val="0"/>
        <w:adjustRightInd/>
        <w:snapToGrid/>
        <w:spacing w:line="240" w:lineRule="auto"/>
        <w:textAlignment w:val="auto"/>
        <w:rPr>
          <w:rFonts w:hint="eastAsia" w:ascii="Times New Roman" w:hAnsi="宋体"/>
          <w:b/>
          <w:bCs/>
          <w:color w:val="000000"/>
          <w:sz w:val="21"/>
          <w:szCs w:val="21"/>
          <w:lang w:val="en-GB" w:eastAsia="zh-CN"/>
        </w:rPr>
      </w:pPr>
      <w:r>
        <w:rPr>
          <w:rFonts w:hint="eastAsia" w:ascii="Times New Roman" w:hAnsi="宋体"/>
          <w:b/>
          <w:bCs/>
          <w:color w:val="000000"/>
          <w:sz w:val="21"/>
          <w:szCs w:val="21"/>
          <w:lang w:val="en-GB" w:eastAsia="zh-CN"/>
        </w:rPr>
        <w:t>本文件中有“★”标注项的为强制响应条款，如出现不响应或负偏离将导致废标。</w:t>
      </w:r>
    </w:p>
    <w:p>
      <w:pPr>
        <w:pStyle w:val="4"/>
        <w:pageBreakBefore/>
        <w:numPr>
          <w:ilvl w:val="0"/>
          <w:numId w:val="29"/>
        </w:numPr>
        <w:spacing w:afterLines="0"/>
        <w:rPr>
          <w:rFonts w:ascii="Times New Roman" w:hAnsi="Times New Roman"/>
          <w:color w:val="auto"/>
          <w:sz w:val="36"/>
          <w:szCs w:val="36"/>
        </w:rPr>
      </w:pPr>
      <w:bookmarkStart w:id="1431" w:name="_Toc9356"/>
      <w:r>
        <w:rPr>
          <w:rFonts w:hint="eastAsia" w:ascii="Times New Roman" w:hAnsi="Times New Roman"/>
          <w:color w:val="auto"/>
          <w:sz w:val="36"/>
          <w:szCs w:val="36"/>
        </w:rPr>
        <w:t>企业综合概况</w:t>
      </w:r>
      <w:bookmarkEnd w:id="1414"/>
      <w:bookmarkEnd w:id="1415"/>
      <w:bookmarkEnd w:id="1416"/>
      <w:bookmarkEnd w:id="1417"/>
      <w:bookmarkEnd w:id="1418"/>
      <w:bookmarkEnd w:id="1420"/>
      <w:bookmarkEnd w:id="1421"/>
      <w:bookmarkEnd w:id="1422"/>
      <w:bookmarkEnd w:id="1423"/>
      <w:bookmarkEnd w:id="1424"/>
      <w:bookmarkEnd w:id="1425"/>
      <w:bookmarkEnd w:id="1426"/>
      <w:bookmarkEnd w:id="1431"/>
    </w:p>
    <w:p>
      <w:pPr>
        <w:spacing w:line="360" w:lineRule="auto"/>
        <w:ind w:left="420"/>
        <w:rPr>
          <w:b/>
          <w:sz w:val="28"/>
          <w:szCs w:val="28"/>
        </w:rPr>
      </w:pPr>
      <w:r>
        <w:rPr>
          <w:rFonts w:hint="eastAsia"/>
          <w:b/>
          <w:sz w:val="28"/>
          <w:szCs w:val="28"/>
        </w:rPr>
        <w:t>一、企业基本情况及企业开发能力情况概述</w:t>
      </w:r>
    </w:p>
    <w:p>
      <w:pPr>
        <w:numPr>
          <w:ilvl w:val="1"/>
          <w:numId w:val="32"/>
        </w:numPr>
        <w:spacing w:line="360" w:lineRule="auto"/>
        <w:rPr>
          <w:b/>
        </w:rPr>
      </w:pPr>
      <w:r>
        <w:rPr>
          <w:rFonts w:hint="eastAsia"/>
          <w:b/>
        </w:rPr>
        <w:t>文字描述主要内容</w:t>
      </w:r>
    </w:p>
    <w:p>
      <w:pPr>
        <w:numPr>
          <w:ilvl w:val="0"/>
          <w:numId w:val="33"/>
        </w:numPr>
        <w:spacing w:line="360" w:lineRule="auto"/>
      </w:pPr>
      <w:r>
        <w:rPr>
          <w:rFonts w:hint="eastAsia"/>
        </w:rPr>
        <w:t>单位性质；发展历程；经营规模及服务理念。</w:t>
      </w:r>
    </w:p>
    <w:p>
      <w:pPr>
        <w:numPr>
          <w:ilvl w:val="0"/>
          <w:numId w:val="33"/>
        </w:numPr>
        <w:spacing w:line="360" w:lineRule="auto"/>
      </w:pPr>
      <w:r>
        <w:rPr>
          <w:rFonts w:hint="eastAsia"/>
        </w:rPr>
        <w:t>主营产品专业服务优势和特点。</w:t>
      </w:r>
    </w:p>
    <w:p>
      <w:pPr>
        <w:numPr>
          <w:ilvl w:val="0"/>
          <w:numId w:val="33"/>
        </w:numPr>
        <w:spacing w:line="360" w:lineRule="auto"/>
      </w:pPr>
      <w:r>
        <w:rPr>
          <w:rFonts w:hint="eastAsia"/>
        </w:rPr>
        <w:t>专业能力、开发能力和服务力量配置等。</w:t>
      </w:r>
    </w:p>
    <w:p>
      <w:pPr>
        <w:numPr>
          <w:ilvl w:val="1"/>
          <w:numId w:val="32"/>
        </w:numPr>
        <w:spacing w:line="360" w:lineRule="auto"/>
      </w:pPr>
      <w:r>
        <w:rPr>
          <w:rFonts w:hint="eastAsia"/>
          <w:b/>
        </w:rPr>
        <w:t>插图反映主要内容</w:t>
      </w:r>
    </w:p>
    <w:p>
      <w:pPr>
        <w:numPr>
          <w:ilvl w:val="0"/>
          <w:numId w:val="33"/>
        </w:numPr>
        <w:spacing w:line="360" w:lineRule="auto"/>
      </w:pPr>
      <w:r>
        <w:rPr>
          <w:rFonts w:hint="eastAsia"/>
        </w:rPr>
        <w:t>形象与实力性质：经营场所内外貌；员工精神面貌；单位文化；专业服务队伍等。</w:t>
      </w:r>
    </w:p>
    <w:p>
      <w:pPr>
        <w:numPr>
          <w:ilvl w:val="0"/>
          <w:numId w:val="33"/>
        </w:numPr>
        <w:spacing w:line="360" w:lineRule="auto"/>
      </w:pPr>
      <w:r>
        <w:rPr>
          <w:rFonts w:hint="eastAsia"/>
        </w:rPr>
        <w:t>目前经营主要产品介绍、单位荣誉、服务等级证书等。</w:t>
      </w:r>
    </w:p>
    <w:p>
      <w:pPr>
        <w:numPr>
          <w:ilvl w:val="0"/>
          <w:numId w:val="33"/>
        </w:numPr>
        <w:spacing w:line="360" w:lineRule="auto"/>
        <w:rPr>
          <w:b/>
          <w:sz w:val="32"/>
          <w:szCs w:val="32"/>
        </w:rPr>
      </w:pPr>
      <w:r>
        <w:rPr>
          <w:rFonts w:hint="eastAsia"/>
        </w:rPr>
        <w:t>分支机构、业务、合作方情况介绍。</w:t>
      </w:r>
      <w:bookmarkStart w:id="1432" w:name="_同类项目业绩介绍_1"/>
      <w:bookmarkEnd w:id="1432"/>
    </w:p>
    <w:p>
      <w:pPr>
        <w:pStyle w:val="29"/>
        <w:sectPr>
          <w:pgSz w:w="11906" w:h="16838"/>
          <w:pgMar w:top="1134" w:right="1134" w:bottom="1134" w:left="1587" w:header="567" w:footer="737" w:gutter="0"/>
          <w:pgNumType w:fmt="decimal"/>
          <w:cols w:space="720" w:num="1"/>
          <w:docGrid w:type="lines" w:linePitch="312" w:charSpace="0"/>
        </w:sectPr>
      </w:pPr>
    </w:p>
    <w:p>
      <w:pPr>
        <w:pStyle w:val="4"/>
        <w:pageBreakBefore/>
        <w:numPr>
          <w:ilvl w:val="0"/>
          <w:numId w:val="29"/>
        </w:numPr>
        <w:spacing w:afterLines="0"/>
        <w:rPr>
          <w:rFonts w:ascii="Times New Roman" w:hAnsi="Times New Roman"/>
          <w:color w:val="auto"/>
          <w:sz w:val="36"/>
          <w:szCs w:val="36"/>
        </w:rPr>
      </w:pPr>
      <w:bookmarkStart w:id="1433" w:name="_Toc14899"/>
      <w:bookmarkStart w:id="1434" w:name="_Toc28377"/>
      <w:bookmarkStart w:id="1435" w:name="_Toc12487"/>
      <w:bookmarkStart w:id="1436" w:name="_Toc4754"/>
      <w:r>
        <w:rPr>
          <w:rFonts w:hint="eastAsia" w:ascii="Times New Roman" w:hAnsi="Times New Roman"/>
          <w:color w:val="auto"/>
          <w:sz w:val="36"/>
          <w:szCs w:val="36"/>
          <w:lang w:eastAsia="zh-CN"/>
        </w:rPr>
        <w:t>同类</w:t>
      </w:r>
      <w:r>
        <w:rPr>
          <w:rFonts w:hint="eastAsia" w:ascii="Times New Roman" w:hAnsi="Times New Roman"/>
          <w:color w:val="auto"/>
          <w:sz w:val="36"/>
          <w:szCs w:val="36"/>
        </w:rPr>
        <w:t>项目业绩</w:t>
      </w:r>
      <w:bookmarkEnd w:id="1433"/>
    </w:p>
    <w:p>
      <w:pPr>
        <w:tabs>
          <w:tab w:val="left" w:pos="540"/>
        </w:tabs>
        <w:spacing w:line="360" w:lineRule="auto"/>
        <w:rPr>
          <w:b/>
          <w:u w:val="double"/>
        </w:rPr>
      </w:pPr>
    </w:p>
    <w:tbl>
      <w:tblPr>
        <w:tblStyle w:val="24"/>
        <w:tblW w:w="9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536"/>
        <w:gridCol w:w="1577"/>
        <w:gridCol w:w="1786"/>
        <w:gridCol w:w="1657"/>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blHeader/>
          <w:jc w:val="center"/>
        </w:trPr>
        <w:tc>
          <w:tcPr>
            <w:tcW w:w="659" w:type="dxa"/>
            <w:shd w:val="clear" w:color="auto" w:fill="F3F3F3"/>
            <w:vAlign w:val="center"/>
          </w:tcPr>
          <w:p>
            <w:pPr>
              <w:jc w:val="center"/>
              <w:rPr>
                <w:rFonts w:hint="eastAsia" w:ascii="宋体" w:hAnsi="宋体" w:eastAsia="宋体" w:cs="宋体"/>
                <w:b/>
                <w:bCs/>
              </w:rPr>
            </w:pPr>
            <w:r>
              <w:rPr>
                <w:rFonts w:hint="eastAsia" w:ascii="宋体" w:hAnsi="宋体" w:eastAsia="宋体" w:cs="宋体"/>
                <w:b/>
                <w:bCs/>
              </w:rPr>
              <w:t>序号</w:t>
            </w:r>
          </w:p>
        </w:tc>
        <w:tc>
          <w:tcPr>
            <w:tcW w:w="1536" w:type="dxa"/>
            <w:shd w:val="clear" w:color="auto" w:fill="F3F3F3"/>
            <w:vAlign w:val="center"/>
          </w:tcPr>
          <w:p>
            <w:pPr>
              <w:jc w:val="center"/>
              <w:rPr>
                <w:rFonts w:hint="eastAsia" w:ascii="宋体" w:hAnsi="宋体" w:eastAsia="宋体" w:cs="宋体"/>
                <w:b/>
                <w:bCs/>
              </w:rPr>
            </w:pPr>
            <w:r>
              <w:rPr>
                <w:rFonts w:hint="eastAsia" w:ascii="宋体" w:hAnsi="宋体" w:eastAsia="宋体" w:cs="宋体"/>
                <w:b/>
                <w:bCs/>
              </w:rPr>
              <w:t>客户单位名称</w:t>
            </w:r>
          </w:p>
        </w:tc>
        <w:tc>
          <w:tcPr>
            <w:tcW w:w="1577" w:type="dxa"/>
            <w:shd w:val="clear" w:color="auto" w:fill="F3F3F3"/>
            <w:vAlign w:val="center"/>
          </w:tcPr>
          <w:p>
            <w:pPr>
              <w:jc w:val="center"/>
              <w:rPr>
                <w:rFonts w:hint="eastAsia" w:ascii="宋体" w:hAnsi="宋体" w:eastAsia="宋体" w:cs="宋体"/>
                <w:b/>
                <w:bCs/>
              </w:rPr>
            </w:pPr>
            <w:r>
              <w:rPr>
                <w:rFonts w:hint="eastAsia" w:ascii="宋体" w:hAnsi="宋体" w:eastAsia="宋体" w:cs="宋体"/>
                <w:b/>
                <w:bCs/>
              </w:rPr>
              <w:t>项目名称</w:t>
            </w:r>
          </w:p>
        </w:tc>
        <w:tc>
          <w:tcPr>
            <w:tcW w:w="1786" w:type="dxa"/>
            <w:shd w:val="clear" w:color="auto" w:fill="F3F3F3"/>
            <w:vAlign w:val="center"/>
          </w:tcPr>
          <w:p>
            <w:pPr>
              <w:jc w:val="center"/>
              <w:rPr>
                <w:rFonts w:hint="eastAsia" w:ascii="宋体" w:hAnsi="宋体" w:eastAsia="宋体" w:cs="宋体"/>
                <w:b/>
                <w:bCs/>
              </w:rPr>
            </w:pPr>
            <w:r>
              <w:rPr>
                <w:rFonts w:hint="eastAsia" w:ascii="宋体" w:hAnsi="宋体" w:eastAsia="宋体" w:cs="宋体"/>
                <w:b/>
                <w:bCs/>
              </w:rPr>
              <w:t>合同金额（万元）</w:t>
            </w:r>
          </w:p>
        </w:tc>
        <w:tc>
          <w:tcPr>
            <w:tcW w:w="1657" w:type="dxa"/>
            <w:shd w:val="clear" w:color="auto" w:fill="F3F3F3"/>
            <w:vAlign w:val="center"/>
          </w:tcPr>
          <w:p>
            <w:pPr>
              <w:jc w:val="center"/>
              <w:rPr>
                <w:rFonts w:hint="eastAsia" w:ascii="宋体" w:hAnsi="宋体" w:eastAsia="宋体" w:cs="宋体"/>
                <w:b/>
                <w:bCs/>
              </w:rPr>
            </w:pPr>
            <w:r>
              <w:rPr>
                <w:rFonts w:hint="eastAsia" w:ascii="宋体" w:hAnsi="宋体" w:eastAsia="宋体" w:cs="宋体"/>
                <w:b/>
                <w:bCs/>
              </w:rPr>
              <w:t>合同签订时间</w:t>
            </w:r>
          </w:p>
        </w:tc>
        <w:tc>
          <w:tcPr>
            <w:tcW w:w="2161" w:type="dxa"/>
            <w:shd w:val="clear" w:color="auto" w:fill="F3F3F3"/>
            <w:vAlign w:val="center"/>
          </w:tcPr>
          <w:p>
            <w:pPr>
              <w:jc w:val="center"/>
              <w:rPr>
                <w:rFonts w:hint="eastAsia" w:ascii="宋体" w:hAnsi="宋体" w:eastAsia="宋体" w:cs="宋体"/>
                <w:b/>
                <w:bCs/>
              </w:rPr>
            </w:pPr>
            <w:r>
              <w:rPr>
                <w:rFonts w:hint="eastAsia" w:ascii="宋体" w:hAnsi="宋体" w:eastAsia="宋体" w:cs="宋体"/>
                <w:b/>
                <w:bCs/>
              </w:rPr>
              <w:t>客户联系人及电话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59" w:type="dxa"/>
            <w:vAlign w:val="center"/>
          </w:tcPr>
          <w:p>
            <w:pPr>
              <w:numPr>
                <w:ilvl w:val="0"/>
                <w:numId w:val="34"/>
              </w:numPr>
              <w:tabs>
                <w:tab w:val="left" w:pos="180"/>
              </w:tabs>
              <w:jc w:val="center"/>
              <w:rPr>
                <w:rFonts w:hint="eastAsia" w:ascii="宋体" w:hAnsi="宋体" w:eastAsia="宋体" w:cs="宋体"/>
              </w:rPr>
            </w:pPr>
          </w:p>
        </w:tc>
        <w:tc>
          <w:tcPr>
            <w:tcW w:w="1536" w:type="dxa"/>
            <w:vAlign w:val="center"/>
          </w:tcPr>
          <w:p>
            <w:pPr>
              <w:jc w:val="center"/>
              <w:rPr>
                <w:rFonts w:hint="eastAsia" w:ascii="宋体" w:hAnsi="宋体" w:eastAsia="宋体" w:cs="宋体"/>
              </w:rPr>
            </w:pPr>
          </w:p>
        </w:tc>
        <w:tc>
          <w:tcPr>
            <w:tcW w:w="1577" w:type="dxa"/>
            <w:vAlign w:val="center"/>
          </w:tcPr>
          <w:p>
            <w:pPr>
              <w:jc w:val="center"/>
              <w:rPr>
                <w:rFonts w:hint="eastAsia" w:ascii="宋体" w:hAnsi="宋体" w:eastAsia="宋体" w:cs="宋体"/>
              </w:rPr>
            </w:pPr>
          </w:p>
        </w:tc>
        <w:tc>
          <w:tcPr>
            <w:tcW w:w="1786" w:type="dxa"/>
            <w:vAlign w:val="center"/>
          </w:tcPr>
          <w:p>
            <w:pPr>
              <w:jc w:val="center"/>
              <w:rPr>
                <w:rFonts w:hint="eastAsia" w:ascii="宋体" w:hAnsi="宋体" w:eastAsia="宋体" w:cs="宋体"/>
              </w:rPr>
            </w:pPr>
          </w:p>
        </w:tc>
        <w:tc>
          <w:tcPr>
            <w:tcW w:w="1657" w:type="dxa"/>
            <w:vAlign w:val="center"/>
          </w:tcPr>
          <w:p>
            <w:pPr>
              <w:jc w:val="center"/>
              <w:rPr>
                <w:rFonts w:hint="eastAsia" w:ascii="宋体" w:hAnsi="宋体" w:eastAsia="宋体" w:cs="宋体"/>
              </w:rPr>
            </w:pPr>
          </w:p>
        </w:tc>
        <w:tc>
          <w:tcPr>
            <w:tcW w:w="2161"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59" w:type="dxa"/>
            <w:vAlign w:val="center"/>
          </w:tcPr>
          <w:p>
            <w:pPr>
              <w:numPr>
                <w:ilvl w:val="0"/>
                <w:numId w:val="34"/>
              </w:numPr>
              <w:tabs>
                <w:tab w:val="left" w:pos="180"/>
              </w:tabs>
              <w:jc w:val="center"/>
              <w:rPr>
                <w:rFonts w:hint="eastAsia" w:ascii="宋体" w:hAnsi="宋体" w:eastAsia="宋体" w:cs="宋体"/>
              </w:rPr>
            </w:pPr>
          </w:p>
        </w:tc>
        <w:tc>
          <w:tcPr>
            <w:tcW w:w="1536" w:type="dxa"/>
            <w:vAlign w:val="center"/>
          </w:tcPr>
          <w:p>
            <w:pPr>
              <w:jc w:val="center"/>
              <w:rPr>
                <w:rFonts w:hint="eastAsia" w:ascii="宋体" w:hAnsi="宋体" w:eastAsia="宋体" w:cs="宋体"/>
              </w:rPr>
            </w:pPr>
          </w:p>
        </w:tc>
        <w:tc>
          <w:tcPr>
            <w:tcW w:w="1577" w:type="dxa"/>
            <w:vAlign w:val="center"/>
          </w:tcPr>
          <w:p>
            <w:pPr>
              <w:jc w:val="center"/>
              <w:rPr>
                <w:rFonts w:hint="eastAsia" w:ascii="宋体" w:hAnsi="宋体" w:eastAsia="宋体" w:cs="宋体"/>
              </w:rPr>
            </w:pPr>
          </w:p>
        </w:tc>
        <w:tc>
          <w:tcPr>
            <w:tcW w:w="1786" w:type="dxa"/>
            <w:vAlign w:val="center"/>
          </w:tcPr>
          <w:p>
            <w:pPr>
              <w:jc w:val="center"/>
              <w:rPr>
                <w:rFonts w:hint="eastAsia" w:ascii="宋体" w:hAnsi="宋体" w:eastAsia="宋体" w:cs="宋体"/>
              </w:rPr>
            </w:pPr>
          </w:p>
        </w:tc>
        <w:tc>
          <w:tcPr>
            <w:tcW w:w="1657" w:type="dxa"/>
            <w:vAlign w:val="center"/>
          </w:tcPr>
          <w:p>
            <w:pPr>
              <w:pStyle w:val="35"/>
              <w:rPr>
                <w:rFonts w:hint="eastAsia" w:ascii="宋体" w:hAnsi="宋体" w:eastAsia="宋体" w:cs="宋体"/>
                <w:color w:val="auto"/>
              </w:rPr>
            </w:pPr>
          </w:p>
        </w:tc>
        <w:tc>
          <w:tcPr>
            <w:tcW w:w="2161"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59" w:type="dxa"/>
            <w:vAlign w:val="center"/>
          </w:tcPr>
          <w:p>
            <w:pPr>
              <w:numPr>
                <w:ilvl w:val="0"/>
                <w:numId w:val="34"/>
              </w:numPr>
              <w:tabs>
                <w:tab w:val="left" w:pos="180"/>
              </w:tabs>
              <w:jc w:val="center"/>
              <w:rPr>
                <w:rFonts w:hint="eastAsia" w:ascii="宋体" w:hAnsi="宋体" w:eastAsia="宋体" w:cs="宋体"/>
              </w:rPr>
            </w:pPr>
          </w:p>
        </w:tc>
        <w:tc>
          <w:tcPr>
            <w:tcW w:w="1536" w:type="dxa"/>
            <w:vAlign w:val="center"/>
          </w:tcPr>
          <w:p>
            <w:pPr>
              <w:jc w:val="center"/>
              <w:rPr>
                <w:rFonts w:hint="eastAsia" w:ascii="宋体" w:hAnsi="宋体" w:eastAsia="宋体" w:cs="宋体"/>
              </w:rPr>
            </w:pPr>
          </w:p>
        </w:tc>
        <w:tc>
          <w:tcPr>
            <w:tcW w:w="1577" w:type="dxa"/>
            <w:vAlign w:val="center"/>
          </w:tcPr>
          <w:p>
            <w:pPr>
              <w:jc w:val="center"/>
              <w:rPr>
                <w:rFonts w:hint="eastAsia" w:ascii="宋体" w:hAnsi="宋体" w:eastAsia="宋体" w:cs="宋体"/>
              </w:rPr>
            </w:pPr>
          </w:p>
        </w:tc>
        <w:tc>
          <w:tcPr>
            <w:tcW w:w="1786" w:type="dxa"/>
            <w:vAlign w:val="center"/>
          </w:tcPr>
          <w:p>
            <w:pPr>
              <w:jc w:val="center"/>
              <w:rPr>
                <w:rFonts w:hint="eastAsia" w:ascii="宋体" w:hAnsi="宋体" w:eastAsia="宋体" w:cs="宋体"/>
              </w:rPr>
            </w:pPr>
          </w:p>
        </w:tc>
        <w:tc>
          <w:tcPr>
            <w:tcW w:w="1657" w:type="dxa"/>
            <w:vAlign w:val="center"/>
          </w:tcPr>
          <w:p>
            <w:pPr>
              <w:jc w:val="center"/>
              <w:rPr>
                <w:rFonts w:hint="eastAsia" w:ascii="宋体" w:hAnsi="宋体" w:eastAsia="宋体" w:cs="宋体"/>
              </w:rPr>
            </w:pPr>
          </w:p>
        </w:tc>
        <w:tc>
          <w:tcPr>
            <w:tcW w:w="2161"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59" w:type="dxa"/>
            <w:vAlign w:val="center"/>
          </w:tcPr>
          <w:p>
            <w:pPr>
              <w:numPr>
                <w:ilvl w:val="0"/>
                <w:numId w:val="34"/>
              </w:numPr>
              <w:tabs>
                <w:tab w:val="left" w:pos="180"/>
              </w:tabs>
              <w:jc w:val="center"/>
              <w:rPr>
                <w:rFonts w:hint="eastAsia" w:ascii="宋体" w:hAnsi="宋体" w:eastAsia="宋体" w:cs="宋体"/>
              </w:rPr>
            </w:pPr>
          </w:p>
        </w:tc>
        <w:tc>
          <w:tcPr>
            <w:tcW w:w="1536" w:type="dxa"/>
            <w:vAlign w:val="center"/>
          </w:tcPr>
          <w:p>
            <w:pPr>
              <w:jc w:val="center"/>
              <w:rPr>
                <w:rFonts w:hint="eastAsia" w:ascii="宋体" w:hAnsi="宋体" w:eastAsia="宋体" w:cs="宋体"/>
              </w:rPr>
            </w:pPr>
          </w:p>
        </w:tc>
        <w:tc>
          <w:tcPr>
            <w:tcW w:w="1577" w:type="dxa"/>
            <w:vAlign w:val="center"/>
          </w:tcPr>
          <w:p>
            <w:pPr>
              <w:jc w:val="center"/>
              <w:rPr>
                <w:rFonts w:hint="eastAsia" w:ascii="宋体" w:hAnsi="宋体" w:eastAsia="宋体" w:cs="宋体"/>
              </w:rPr>
            </w:pPr>
          </w:p>
        </w:tc>
        <w:tc>
          <w:tcPr>
            <w:tcW w:w="1786" w:type="dxa"/>
            <w:vAlign w:val="center"/>
          </w:tcPr>
          <w:p>
            <w:pPr>
              <w:jc w:val="center"/>
              <w:rPr>
                <w:rFonts w:hint="eastAsia" w:ascii="宋体" w:hAnsi="宋体" w:eastAsia="宋体" w:cs="宋体"/>
              </w:rPr>
            </w:pPr>
          </w:p>
        </w:tc>
        <w:tc>
          <w:tcPr>
            <w:tcW w:w="1657" w:type="dxa"/>
            <w:vAlign w:val="center"/>
          </w:tcPr>
          <w:p>
            <w:pPr>
              <w:jc w:val="center"/>
              <w:rPr>
                <w:rFonts w:hint="eastAsia" w:ascii="宋体" w:hAnsi="宋体" w:eastAsia="宋体" w:cs="宋体"/>
              </w:rPr>
            </w:pPr>
          </w:p>
        </w:tc>
        <w:tc>
          <w:tcPr>
            <w:tcW w:w="2161"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59" w:type="dxa"/>
            <w:vAlign w:val="center"/>
          </w:tcPr>
          <w:p>
            <w:pPr>
              <w:numPr>
                <w:ilvl w:val="0"/>
                <w:numId w:val="34"/>
              </w:numPr>
              <w:tabs>
                <w:tab w:val="left" w:pos="180"/>
              </w:tabs>
              <w:jc w:val="center"/>
              <w:rPr>
                <w:rFonts w:hint="eastAsia" w:ascii="宋体" w:hAnsi="宋体" w:eastAsia="宋体" w:cs="宋体"/>
              </w:rPr>
            </w:pPr>
          </w:p>
        </w:tc>
        <w:tc>
          <w:tcPr>
            <w:tcW w:w="1536" w:type="dxa"/>
            <w:vAlign w:val="center"/>
          </w:tcPr>
          <w:p>
            <w:pPr>
              <w:jc w:val="center"/>
              <w:rPr>
                <w:rFonts w:hint="eastAsia" w:ascii="宋体" w:hAnsi="宋体" w:eastAsia="宋体" w:cs="宋体"/>
              </w:rPr>
            </w:pPr>
          </w:p>
        </w:tc>
        <w:tc>
          <w:tcPr>
            <w:tcW w:w="1577" w:type="dxa"/>
            <w:vAlign w:val="center"/>
          </w:tcPr>
          <w:p>
            <w:pPr>
              <w:jc w:val="center"/>
              <w:rPr>
                <w:rFonts w:hint="eastAsia" w:ascii="宋体" w:hAnsi="宋体" w:eastAsia="宋体" w:cs="宋体"/>
              </w:rPr>
            </w:pPr>
          </w:p>
        </w:tc>
        <w:tc>
          <w:tcPr>
            <w:tcW w:w="1786" w:type="dxa"/>
            <w:vAlign w:val="center"/>
          </w:tcPr>
          <w:p>
            <w:pPr>
              <w:jc w:val="center"/>
              <w:rPr>
                <w:rFonts w:hint="eastAsia" w:ascii="宋体" w:hAnsi="宋体" w:eastAsia="宋体" w:cs="宋体"/>
              </w:rPr>
            </w:pPr>
          </w:p>
        </w:tc>
        <w:tc>
          <w:tcPr>
            <w:tcW w:w="1657" w:type="dxa"/>
            <w:vAlign w:val="center"/>
          </w:tcPr>
          <w:p>
            <w:pPr>
              <w:jc w:val="center"/>
              <w:rPr>
                <w:rFonts w:hint="eastAsia" w:ascii="宋体" w:hAnsi="宋体" w:eastAsia="宋体" w:cs="宋体"/>
              </w:rPr>
            </w:pPr>
          </w:p>
        </w:tc>
        <w:tc>
          <w:tcPr>
            <w:tcW w:w="2161"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59" w:type="dxa"/>
            <w:vAlign w:val="center"/>
          </w:tcPr>
          <w:p>
            <w:pPr>
              <w:numPr>
                <w:ilvl w:val="0"/>
                <w:numId w:val="34"/>
              </w:numPr>
              <w:tabs>
                <w:tab w:val="left" w:pos="180"/>
              </w:tabs>
              <w:jc w:val="center"/>
              <w:rPr>
                <w:rFonts w:hint="eastAsia" w:ascii="宋体" w:hAnsi="宋体" w:eastAsia="宋体" w:cs="宋体"/>
              </w:rPr>
            </w:pPr>
          </w:p>
        </w:tc>
        <w:tc>
          <w:tcPr>
            <w:tcW w:w="1536" w:type="dxa"/>
            <w:vAlign w:val="center"/>
          </w:tcPr>
          <w:p>
            <w:pPr>
              <w:jc w:val="center"/>
              <w:rPr>
                <w:rFonts w:hint="eastAsia" w:ascii="宋体" w:hAnsi="宋体" w:eastAsia="宋体" w:cs="宋体"/>
              </w:rPr>
            </w:pPr>
          </w:p>
        </w:tc>
        <w:tc>
          <w:tcPr>
            <w:tcW w:w="1577" w:type="dxa"/>
            <w:vAlign w:val="center"/>
          </w:tcPr>
          <w:p>
            <w:pPr>
              <w:jc w:val="center"/>
              <w:rPr>
                <w:rFonts w:hint="eastAsia" w:ascii="宋体" w:hAnsi="宋体" w:eastAsia="宋体" w:cs="宋体"/>
              </w:rPr>
            </w:pPr>
          </w:p>
        </w:tc>
        <w:tc>
          <w:tcPr>
            <w:tcW w:w="1786" w:type="dxa"/>
            <w:vAlign w:val="center"/>
          </w:tcPr>
          <w:p>
            <w:pPr>
              <w:jc w:val="center"/>
              <w:rPr>
                <w:rFonts w:hint="eastAsia" w:ascii="宋体" w:hAnsi="宋体" w:eastAsia="宋体" w:cs="宋体"/>
              </w:rPr>
            </w:pPr>
          </w:p>
        </w:tc>
        <w:tc>
          <w:tcPr>
            <w:tcW w:w="1657" w:type="dxa"/>
            <w:vAlign w:val="center"/>
          </w:tcPr>
          <w:p>
            <w:pPr>
              <w:jc w:val="center"/>
              <w:rPr>
                <w:rFonts w:hint="eastAsia" w:ascii="宋体" w:hAnsi="宋体" w:eastAsia="宋体" w:cs="宋体"/>
              </w:rPr>
            </w:pPr>
          </w:p>
        </w:tc>
        <w:tc>
          <w:tcPr>
            <w:tcW w:w="2161"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59" w:type="dxa"/>
            <w:vAlign w:val="center"/>
          </w:tcPr>
          <w:p>
            <w:pPr>
              <w:numPr>
                <w:ilvl w:val="0"/>
                <w:numId w:val="34"/>
              </w:numPr>
              <w:tabs>
                <w:tab w:val="left" w:pos="180"/>
              </w:tabs>
              <w:jc w:val="center"/>
              <w:rPr>
                <w:rFonts w:hint="eastAsia" w:ascii="宋体" w:hAnsi="宋体" w:eastAsia="宋体" w:cs="宋体"/>
              </w:rPr>
            </w:pPr>
          </w:p>
        </w:tc>
        <w:tc>
          <w:tcPr>
            <w:tcW w:w="1536" w:type="dxa"/>
            <w:vAlign w:val="center"/>
          </w:tcPr>
          <w:p>
            <w:pPr>
              <w:jc w:val="center"/>
              <w:rPr>
                <w:rFonts w:hint="eastAsia" w:ascii="宋体" w:hAnsi="宋体" w:eastAsia="宋体" w:cs="宋体"/>
              </w:rPr>
            </w:pPr>
          </w:p>
        </w:tc>
        <w:tc>
          <w:tcPr>
            <w:tcW w:w="1577" w:type="dxa"/>
            <w:vAlign w:val="center"/>
          </w:tcPr>
          <w:p>
            <w:pPr>
              <w:jc w:val="center"/>
              <w:rPr>
                <w:rFonts w:hint="eastAsia" w:ascii="宋体" w:hAnsi="宋体" w:eastAsia="宋体" w:cs="宋体"/>
              </w:rPr>
            </w:pPr>
          </w:p>
        </w:tc>
        <w:tc>
          <w:tcPr>
            <w:tcW w:w="1786" w:type="dxa"/>
            <w:vAlign w:val="center"/>
          </w:tcPr>
          <w:p>
            <w:pPr>
              <w:jc w:val="center"/>
              <w:rPr>
                <w:rFonts w:hint="eastAsia" w:ascii="宋体" w:hAnsi="宋体" w:eastAsia="宋体" w:cs="宋体"/>
              </w:rPr>
            </w:pPr>
          </w:p>
        </w:tc>
        <w:tc>
          <w:tcPr>
            <w:tcW w:w="1657" w:type="dxa"/>
            <w:vAlign w:val="center"/>
          </w:tcPr>
          <w:p>
            <w:pPr>
              <w:jc w:val="center"/>
              <w:rPr>
                <w:rFonts w:hint="eastAsia" w:ascii="宋体" w:hAnsi="宋体" w:eastAsia="宋体" w:cs="宋体"/>
              </w:rPr>
            </w:pPr>
          </w:p>
        </w:tc>
        <w:tc>
          <w:tcPr>
            <w:tcW w:w="2161"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59" w:type="dxa"/>
            <w:vAlign w:val="center"/>
          </w:tcPr>
          <w:p>
            <w:pPr>
              <w:numPr>
                <w:ilvl w:val="0"/>
                <w:numId w:val="34"/>
              </w:numPr>
              <w:tabs>
                <w:tab w:val="left" w:pos="180"/>
              </w:tabs>
              <w:jc w:val="center"/>
              <w:rPr>
                <w:rFonts w:hint="eastAsia" w:ascii="宋体" w:hAnsi="宋体" w:eastAsia="宋体" w:cs="宋体"/>
              </w:rPr>
            </w:pPr>
          </w:p>
        </w:tc>
        <w:tc>
          <w:tcPr>
            <w:tcW w:w="1536" w:type="dxa"/>
            <w:vAlign w:val="center"/>
          </w:tcPr>
          <w:p>
            <w:pPr>
              <w:jc w:val="center"/>
              <w:rPr>
                <w:rFonts w:hint="eastAsia" w:ascii="宋体" w:hAnsi="宋体" w:eastAsia="宋体" w:cs="宋体"/>
              </w:rPr>
            </w:pPr>
          </w:p>
        </w:tc>
        <w:tc>
          <w:tcPr>
            <w:tcW w:w="1577" w:type="dxa"/>
            <w:vAlign w:val="center"/>
          </w:tcPr>
          <w:p>
            <w:pPr>
              <w:jc w:val="center"/>
              <w:rPr>
                <w:rFonts w:hint="eastAsia" w:ascii="宋体" w:hAnsi="宋体" w:eastAsia="宋体" w:cs="宋体"/>
              </w:rPr>
            </w:pPr>
          </w:p>
        </w:tc>
        <w:tc>
          <w:tcPr>
            <w:tcW w:w="1786" w:type="dxa"/>
            <w:vAlign w:val="center"/>
          </w:tcPr>
          <w:p>
            <w:pPr>
              <w:jc w:val="center"/>
              <w:rPr>
                <w:rFonts w:hint="eastAsia" w:ascii="宋体" w:hAnsi="宋体" w:eastAsia="宋体" w:cs="宋体"/>
              </w:rPr>
            </w:pPr>
          </w:p>
        </w:tc>
        <w:tc>
          <w:tcPr>
            <w:tcW w:w="1657" w:type="dxa"/>
            <w:vAlign w:val="center"/>
          </w:tcPr>
          <w:p>
            <w:pPr>
              <w:jc w:val="center"/>
              <w:rPr>
                <w:rFonts w:hint="eastAsia" w:ascii="宋体" w:hAnsi="宋体" w:eastAsia="宋体" w:cs="宋体"/>
              </w:rPr>
            </w:pPr>
          </w:p>
        </w:tc>
        <w:tc>
          <w:tcPr>
            <w:tcW w:w="2161"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59" w:type="dxa"/>
            <w:vAlign w:val="center"/>
          </w:tcPr>
          <w:p>
            <w:pPr>
              <w:numPr>
                <w:ilvl w:val="0"/>
                <w:numId w:val="34"/>
              </w:numPr>
              <w:tabs>
                <w:tab w:val="left" w:pos="180"/>
              </w:tabs>
              <w:jc w:val="center"/>
              <w:rPr>
                <w:rFonts w:hint="eastAsia" w:ascii="宋体" w:hAnsi="宋体" w:eastAsia="宋体" w:cs="宋体"/>
              </w:rPr>
            </w:pPr>
          </w:p>
        </w:tc>
        <w:tc>
          <w:tcPr>
            <w:tcW w:w="1536" w:type="dxa"/>
            <w:vAlign w:val="center"/>
          </w:tcPr>
          <w:p>
            <w:pPr>
              <w:jc w:val="center"/>
              <w:rPr>
                <w:rFonts w:hint="eastAsia" w:ascii="宋体" w:hAnsi="宋体" w:eastAsia="宋体" w:cs="宋体"/>
              </w:rPr>
            </w:pPr>
          </w:p>
        </w:tc>
        <w:tc>
          <w:tcPr>
            <w:tcW w:w="1577" w:type="dxa"/>
            <w:vAlign w:val="center"/>
          </w:tcPr>
          <w:p>
            <w:pPr>
              <w:jc w:val="center"/>
              <w:rPr>
                <w:rFonts w:hint="eastAsia" w:ascii="宋体" w:hAnsi="宋体" w:eastAsia="宋体" w:cs="宋体"/>
              </w:rPr>
            </w:pPr>
          </w:p>
        </w:tc>
        <w:tc>
          <w:tcPr>
            <w:tcW w:w="1786" w:type="dxa"/>
            <w:vAlign w:val="center"/>
          </w:tcPr>
          <w:p>
            <w:pPr>
              <w:jc w:val="center"/>
              <w:rPr>
                <w:rFonts w:hint="eastAsia" w:ascii="宋体" w:hAnsi="宋体" w:eastAsia="宋体" w:cs="宋体"/>
              </w:rPr>
            </w:pPr>
          </w:p>
        </w:tc>
        <w:tc>
          <w:tcPr>
            <w:tcW w:w="1657" w:type="dxa"/>
            <w:vAlign w:val="center"/>
          </w:tcPr>
          <w:p>
            <w:pPr>
              <w:jc w:val="center"/>
              <w:rPr>
                <w:rFonts w:hint="eastAsia" w:ascii="宋体" w:hAnsi="宋体" w:eastAsia="宋体" w:cs="宋体"/>
              </w:rPr>
            </w:pPr>
          </w:p>
        </w:tc>
        <w:tc>
          <w:tcPr>
            <w:tcW w:w="2161"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59" w:type="dxa"/>
            <w:vAlign w:val="center"/>
          </w:tcPr>
          <w:p>
            <w:pPr>
              <w:numPr>
                <w:ilvl w:val="0"/>
                <w:numId w:val="34"/>
              </w:numPr>
              <w:tabs>
                <w:tab w:val="left" w:pos="180"/>
              </w:tabs>
              <w:jc w:val="center"/>
              <w:rPr>
                <w:rFonts w:hint="eastAsia" w:ascii="宋体" w:hAnsi="宋体" w:eastAsia="宋体" w:cs="宋体"/>
              </w:rPr>
            </w:pPr>
          </w:p>
        </w:tc>
        <w:tc>
          <w:tcPr>
            <w:tcW w:w="1536" w:type="dxa"/>
            <w:vAlign w:val="center"/>
          </w:tcPr>
          <w:p>
            <w:pPr>
              <w:jc w:val="center"/>
              <w:rPr>
                <w:rFonts w:hint="eastAsia" w:ascii="宋体" w:hAnsi="宋体" w:eastAsia="宋体" w:cs="宋体"/>
              </w:rPr>
            </w:pPr>
          </w:p>
        </w:tc>
        <w:tc>
          <w:tcPr>
            <w:tcW w:w="1577" w:type="dxa"/>
            <w:vAlign w:val="center"/>
          </w:tcPr>
          <w:p>
            <w:pPr>
              <w:jc w:val="center"/>
              <w:rPr>
                <w:rFonts w:hint="eastAsia" w:ascii="宋体" w:hAnsi="宋体" w:eastAsia="宋体" w:cs="宋体"/>
              </w:rPr>
            </w:pPr>
          </w:p>
        </w:tc>
        <w:tc>
          <w:tcPr>
            <w:tcW w:w="1786" w:type="dxa"/>
            <w:vAlign w:val="center"/>
          </w:tcPr>
          <w:p>
            <w:pPr>
              <w:jc w:val="center"/>
              <w:rPr>
                <w:rFonts w:hint="eastAsia" w:ascii="宋体" w:hAnsi="宋体" w:eastAsia="宋体" w:cs="宋体"/>
              </w:rPr>
            </w:pPr>
          </w:p>
        </w:tc>
        <w:tc>
          <w:tcPr>
            <w:tcW w:w="1657" w:type="dxa"/>
            <w:vAlign w:val="center"/>
          </w:tcPr>
          <w:p>
            <w:pPr>
              <w:jc w:val="center"/>
              <w:rPr>
                <w:rFonts w:hint="eastAsia" w:ascii="宋体" w:hAnsi="宋体" w:eastAsia="宋体" w:cs="宋体"/>
              </w:rPr>
            </w:pPr>
          </w:p>
        </w:tc>
        <w:tc>
          <w:tcPr>
            <w:tcW w:w="2161" w:type="dxa"/>
            <w:vAlign w:val="center"/>
          </w:tcPr>
          <w:p>
            <w:pPr>
              <w:jc w:val="center"/>
              <w:rPr>
                <w:rFonts w:hint="eastAsia" w:ascii="宋体" w:hAnsi="宋体" w:eastAsia="宋体" w:cs="宋体"/>
              </w:rPr>
            </w:pPr>
          </w:p>
        </w:tc>
      </w:tr>
    </w:tbl>
    <w:p>
      <w:pPr>
        <w:bidi w:val="0"/>
      </w:pPr>
    </w:p>
    <w:p>
      <w:pPr>
        <w:rPr>
          <w:rFonts w:hint="eastAsia" w:eastAsia="宋体"/>
          <w:b/>
          <w:bCs/>
          <w:lang w:eastAsia="zh-CN"/>
        </w:rPr>
      </w:pPr>
      <w:r>
        <w:rPr>
          <w:b/>
          <w:u w:val="double"/>
        </w:rPr>
        <w:t>本表附件</w:t>
      </w:r>
      <w:r>
        <w:rPr>
          <w:b/>
        </w:rPr>
        <w:t>：</w:t>
      </w:r>
      <w:r>
        <w:rPr>
          <w:rFonts w:hint="eastAsia"/>
          <w:b/>
        </w:rPr>
        <w:t>提供</w:t>
      </w:r>
      <w:r>
        <w:rPr>
          <w:rFonts w:hint="eastAsia"/>
          <w:b/>
          <w:bCs/>
        </w:rPr>
        <w:t>评分标准中“商务部分”要求的证明资料</w:t>
      </w:r>
      <w:r>
        <w:rPr>
          <w:rFonts w:hint="eastAsia"/>
          <w:b/>
          <w:bCs/>
          <w:lang w:eastAsia="zh-CN"/>
        </w:rPr>
        <w:t>。</w:t>
      </w:r>
    </w:p>
    <w:p>
      <w:pPr>
        <w:tabs>
          <w:tab w:val="left" w:pos="540"/>
        </w:tabs>
        <w:spacing w:line="360" w:lineRule="auto"/>
        <w:rPr>
          <w:b/>
          <w:u w:val="double"/>
        </w:rPr>
      </w:pPr>
    </w:p>
    <w:p>
      <w:pPr>
        <w:tabs>
          <w:tab w:val="left" w:pos="540"/>
        </w:tabs>
        <w:spacing w:line="360" w:lineRule="auto"/>
        <w:jc w:val="center"/>
        <w:rPr>
          <w:b/>
          <w:sz w:val="22"/>
          <w:szCs w:val="28"/>
        </w:rPr>
      </w:pPr>
    </w:p>
    <w:p>
      <w:pPr>
        <w:sectPr>
          <w:pgSz w:w="11906" w:h="16838"/>
          <w:pgMar w:top="1134" w:right="1134" w:bottom="1134" w:left="1587" w:header="567" w:footer="737" w:gutter="0"/>
          <w:pgNumType w:fmt="decimal"/>
          <w:cols w:space="720" w:num="1"/>
          <w:docGrid w:type="lines" w:linePitch="312" w:charSpace="0"/>
        </w:sectPr>
      </w:pPr>
    </w:p>
    <w:p>
      <w:pPr>
        <w:pStyle w:val="4"/>
        <w:pageBreakBefore/>
        <w:numPr>
          <w:ilvl w:val="0"/>
          <w:numId w:val="29"/>
        </w:numPr>
        <w:spacing w:afterLines="0"/>
        <w:rPr>
          <w:rFonts w:hint="default" w:ascii="Times New Roman" w:hAnsi="Times New Roman" w:eastAsia="宋体" w:cs="Times New Roman"/>
          <w:color w:val="auto"/>
          <w:sz w:val="36"/>
          <w:szCs w:val="36"/>
          <w:lang w:val="en-US" w:eastAsia="zh-CN"/>
        </w:rPr>
      </w:pPr>
      <w:bookmarkStart w:id="1437" w:name="_Toc13299"/>
      <w:bookmarkStart w:id="1438" w:name="_Toc17022"/>
      <w:r>
        <w:rPr>
          <w:rFonts w:hint="default" w:ascii="Times New Roman" w:hAnsi="Times New Roman" w:eastAsia="宋体" w:cs="Times New Roman"/>
          <w:color w:val="auto"/>
          <w:sz w:val="36"/>
          <w:szCs w:val="36"/>
          <w:lang w:val="en-US" w:eastAsia="zh-CN"/>
        </w:rPr>
        <w:t>拟投入本项目人员</w:t>
      </w:r>
      <w:bookmarkEnd w:id="1437"/>
    </w:p>
    <w:tbl>
      <w:tblPr>
        <w:tblStyle w:val="25"/>
        <w:tblW w:w="9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3"/>
        <w:gridCol w:w="1226"/>
        <w:gridCol w:w="1245"/>
        <w:gridCol w:w="3178"/>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1883" w:type="dxa"/>
            <w:noWrap w:val="0"/>
            <w:vAlign w:val="center"/>
          </w:tcPr>
          <w:p>
            <w:pPr>
              <w:pStyle w:val="101"/>
              <w:ind w:left="0" w:leftChars="0" w:firstLine="0" w:firstLineChars="0"/>
              <w:jc w:val="center"/>
              <w:rPr>
                <w:rFonts w:hint="eastAsia" w:ascii="黑体" w:hAnsi="黑体" w:eastAsia="黑体" w:cs="黑体"/>
                <w:b/>
                <w:bCs/>
                <w:sz w:val="21"/>
                <w:szCs w:val="21"/>
                <w:highlight w:val="none"/>
                <w:vertAlign w:val="baseline"/>
                <w:lang w:val="en-US" w:eastAsia="zh-CN"/>
              </w:rPr>
            </w:pPr>
            <w:r>
              <w:rPr>
                <w:rFonts w:hint="eastAsia" w:ascii="黑体" w:hAnsi="黑体" w:eastAsia="黑体" w:cs="黑体"/>
                <w:b/>
                <w:bCs/>
                <w:sz w:val="21"/>
                <w:szCs w:val="21"/>
                <w:highlight w:val="none"/>
                <w:vertAlign w:val="baseline"/>
                <w:lang w:val="en-US" w:eastAsia="zh-CN"/>
              </w:rPr>
              <w:t>拟任分工</w:t>
            </w:r>
          </w:p>
        </w:tc>
        <w:tc>
          <w:tcPr>
            <w:tcW w:w="1226" w:type="dxa"/>
            <w:noWrap w:val="0"/>
            <w:vAlign w:val="center"/>
          </w:tcPr>
          <w:p>
            <w:pPr>
              <w:pStyle w:val="101"/>
              <w:ind w:left="0" w:leftChars="0" w:firstLine="0" w:firstLineChars="0"/>
              <w:jc w:val="center"/>
              <w:rPr>
                <w:rFonts w:hint="eastAsia" w:ascii="黑体" w:hAnsi="黑体" w:eastAsia="黑体" w:cs="黑体"/>
                <w:b/>
                <w:bCs/>
                <w:sz w:val="21"/>
                <w:szCs w:val="21"/>
                <w:highlight w:val="none"/>
                <w:vertAlign w:val="baseline"/>
                <w:lang w:val="en-US" w:eastAsia="zh-CN"/>
              </w:rPr>
            </w:pPr>
            <w:r>
              <w:rPr>
                <w:rFonts w:hint="eastAsia" w:ascii="黑体" w:hAnsi="黑体" w:eastAsia="黑体" w:cs="黑体"/>
                <w:b/>
                <w:bCs/>
                <w:sz w:val="21"/>
                <w:szCs w:val="21"/>
                <w:highlight w:val="none"/>
                <w:vertAlign w:val="baseline"/>
                <w:lang w:val="en-US" w:eastAsia="zh-CN"/>
              </w:rPr>
              <w:t>姓名</w:t>
            </w:r>
          </w:p>
        </w:tc>
        <w:tc>
          <w:tcPr>
            <w:tcW w:w="1245" w:type="dxa"/>
            <w:noWrap w:val="0"/>
            <w:vAlign w:val="center"/>
          </w:tcPr>
          <w:p>
            <w:pPr>
              <w:pStyle w:val="101"/>
              <w:ind w:left="0" w:leftChars="0" w:firstLine="0" w:firstLineChars="0"/>
              <w:jc w:val="center"/>
              <w:rPr>
                <w:rFonts w:hint="eastAsia" w:ascii="黑体" w:hAnsi="黑体" w:eastAsia="黑体" w:cs="黑体"/>
                <w:b/>
                <w:bCs/>
                <w:sz w:val="21"/>
                <w:szCs w:val="21"/>
                <w:highlight w:val="none"/>
                <w:vertAlign w:val="baseline"/>
                <w:lang w:val="en-US" w:eastAsia="zh-CN"/>
              </w:rPr>
            </w:pPr>
            <w:r>
              <w:rPr>
                <w:rFonts w:hint="eastAsia" w:ascii="黑体" w:hAnsi="黑体" w:eastAsia="黑体" w:cs="黑体"/>
                <w:b/>
                <w:bCs/>
                <w:sz w:val="21"/>
                <w:szCs w:val="21"/>
                <w:highlight w:val="none"/>
                <w:vertAlign w:val="baseline"/>
                <w:lang w:val="en-US" w:eastAsia="zh-CN"/>
              </w:rPr>
              <w:t>年龄</w:t>
            </w:r>
          </w:p>
        </w:tc>
        <w:tc>
          <w:tcPr>
            <w:tcW w:w="3178" w:type="dxa"/>
            <w:noWrap w:val="0"/>
            <w:vAlign w:val="center"/>
          </w:tcPr>
          <w:p>
            <w:pPr>
              <w:pStyle w:val="101"/>
              <w:ind w:left="0" w:leftChars="0" w:firstLine="0" w:firstLineChars="0"/>
              <w:jc w:val="center"/>
              <w:rPr>
                <w:rFonts w:hint="eastAsia" w:ascii="黑体" w:hAnsi="黑体" w:eastAsia="黑体" w:cs="黑体"/>
                <w:b/>
                <w:bCs/>
                <w:sz w:val="21"/>
                <w:szCs w:val="21"/>
                <w:highlight w:val="none"/>
                <w:vertAlign w:val="baseline"/>
                <w:lang w:val="en-US" w:eastAsia="zh-CN"/>
              </w:rPr>
            </w:pPr>
            <w:r>
              <w:rPr>
                <w:rFonts w:hint="eastAsia" w:ascii="黑体" w:hAnsi="黑体" w:eastAsia="黑体" w:cs="黑体"/>
                <w:b/>
                <w:bCs/>
                <w:sz w:val="21"/>
                <w:szCs w:val="21"/>
                <w:highlight w:val="none"/>
                <w:vertAlign w:val="baseline"/>
                <w:lang w:val="en-US" w:eastAsia="zh-CN"/>
              </w:rPr>
              <w:t>执业资格证书或职称证书</w:t>
            </w:r>
          </w:p>
        </w:tc>
        <w:tc>
          <w:tcPr>
            <w:tcW w:w="1884" w:type="dxa"/>
            <w:noWrap w:val="0"/>
            <w:vAlign w:val="center"/>
          </w:tcPr>
          <w:p>
            <w:pPr>
              <w:pStyle w:val="101"/>
              <w:ind w:left="0" w:leftChars="0" w:firstLine="0" w:firstLineChars="0"/>
              <w:jc w:val="center"/>
              <w:rPr>
                <w:rFonts w:hint="eastAsia" w:ascii="黑体" w:hAnsi="黑体" w:eastAsia="黑体" w:cs="黑体"/>
                <w:b/>
                <w:bCs/>
                <w:sz w:val="21"/>
                <w:szCs w:val="21"/>
                <w:highlight w:val="none"/>
                <w:vertAlign w:val="baseline"/>
                <w:lang w:val="en-US" w:eastAsia="zh-CN"/>
              </w:rPr>
            </w:pPr>
            <w:r>
              <w:rPr>
                <w:rFonts w:hint="eastAsia" w:ascii="黑体" w:hAnsi="黑体" w:eastAsia="黑体" w:cs="黑体"/>
                <w:b/>
                <w:bCs/>
                <w:sz w:val="21"/>
                <w:szCs w:val="21"/>
                <w:highlight w:val="none"/>
                <w:vertAlign w:val="baseline"/>
                <w:lang w:val="en-US" w:eastAsia="zh-CN"/>
              </w:rPr>
              <w:t>联系电话</w:t>
            </w:r>
          </w:p>
          <w:p>
            <w:pPr>
              <w:pStyle w:val="101"/>
              <w:ind w:left="0" w:leftChars="0" w:firstLine="0" w:firstLineChars="0"/>
              <w:jc w:val="center"/>
              <w:rPr>
                <w:rFonts w:hint="eastAsia" w:ascii="黑体" w:hAnsi="黑体" w:eastAsia="黑体" w:cs="黑体"/>
                <w:b/>
                <w:bCs/>
                <w:sz w:val="21"/>
                <w:szCs w:val="21"/>
                <w:highlight w:val="none"/>
                <w:vertAlign w:val="baseline"/>
                <w:lang w:val="en-US" w:eastAsia="zh-CN"/>
              </w:rPr>
            </w:pPr>
            <w:r>
              <w:rPr>
                <w:rFonts w:hint="eastAsia" w:ascii="黑体" w:hAnsi="黑体" w:eastAsia="黑体" w:cs="黑体"/>
                <w:b/>
                <w:bCs/>
                <w:sz w:val="21"/>
                <w:szCs w:val="21"/>
                <w:highlight w:val="none"/>
                <w:vertAlign w:val="baseline"/>
                <w:lang w:val="en-US" w:eastAsia="zh-CN"/>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883" w:type="dxa"/>
            <w:noWrap w:val="0"/>
            <w:vAlign w:val="center"/>
          </w:tcPr>
          <w:p>
            <w:pPr>
              <w:pStyle w:val="101"/>
              <w:ind w:left="0" w:leftChars="0" w:firstLine="0" w:firstLineChars="0"/>
              <w:jc w:val="center"/>
              <w:rPr>
                <w:rFonts w:hint="eastAsia" w:ascii="宋体" w:hAnsi="宋体" w:eastAsia="宋体" w:cs="宋体"/>
                <w:sz w:val="24"/>
                <w:szCs w:val="24"/>
                <w:highlight w:val="none"/>
                <w:vertAlign w:val="baseline"/>
                <w:lang w:val="en-US" w:eastAsia="zh-CN"/>
              </w:rPr>
            </w:pPr>
          </w:p>
        </w:tc>
        <w:tc>
          <w:tcPr>
            <w:tcW w:w="1226" w:type="dxa"/>
            <w:noWrap w:val="0"/>
            <w:vAlign w:val="top"/>
          </w:tcPr>
          <w:p>
            <w:pPr>
              <w:pStyle w:val="101"/>
              <w:rPr>
                <w:rFonts w:hint="default"/>
                <w:highlight w:val="none"/>
                <w:vertAlign w:val="baseline"/>
                <w:lang w:val="en-US" w:eastAsia="zh-CN"/>
              </w:rPr>
            </w:pPr>
          </w:p>
        </w:tc>
        <w:tc>
          <w:tcPr>
            <w:tcW w:w="1245" w:type="dxa"/>
            <w:noWrap w:val="0"/>
            <w:vAlign w:val="top"/>
          </w:tcPr>
          <w:p>
            <w:pPr>
              <w:pStyle w:val="101"/>
              <w:rPr>
                <w:rFonts w:hint="default"/>
                <w:highlight w:val="none"/>
                <w:vertAlign w:val="baseline"/>
                <w:lang w:val="en-US" w:eastAsia="zh-CN"/>
              </w:rPr>
            </w:pPr>
          </w:p>
        </w:tc>
        <w:tc>
          <w:tcPr>
            <w:tcW w:w="3178" w:type="dxa"/>
            <w:noWrap w:val="0"/>
            <w:vAlign w:val="top"/>
          </w:tcPr>
          <w:p>
            <w:pPr>
              <w:pStyle w:val="101"/>
              <w:rPr>
                <w:rFonts w:hint="default"/>
                <w:highlight w:val="none"/>
                <w:vertAlign w:val="baseline"/>
                <w:lang w:val="en-US" w:eastAsia="zh-CN"/>
              </w:rPr>
            </w:pPr>
          </w:p>
        </w:tc>
        <w:tc>
          <w:tcPr>
            <w:tcW w:w="1884" w:type="dxa"/>
            <w:noWrap w:val="0"/>
            <w:vAlign w:val="top"/>
          </w:tcPr>
          <w:p>
            <w:pPr>
              <w:pStyle w:val="101"/>
              <w:rPr>
                <w:rFonts w:hint="default"/>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883" w:type="dxa"/>
            <w:noWrap w:val="0"/>
            <w:vAlign w:val="center"/>
          </w:tcPr>
          <w:p>
            <w:pPr>
              <w:pStyle w:val="101"/>
              <w:ind w:left="0" w:leftChars="0" w:firstLine="0" w:firstLineChars="0"/>
              <w:jc w:val="center"/>
              <w:rPr>
                <w:rFonts w:hint="eastAsia" w:ascii="宋体" w:hAnsi="宋体" w:eastAsia="宋体" w:cs="宋体"/>
                <w:sz w:val="24"/>
                <w:szCs w:val="24"/>
                <w:highlight w:val="none"/>
                <w:vertAlign w:val="baseline"/>
                <w:lang w:val="en-US" w:eastAsia="zh-CN"/>
              </w:rPr>
            </w:pPr>
          </w:p>
        </w:tc>
        <w:tc>
          <w:tcPr>
            <w:tcW w:w="1226" w:type="dxa"/>
            <w:noWrap w:val="0"/>
            <w:vAlign w:val="top"/>
          </w:tcPr>
          <w:p>
            <w:pPr>
              <w:pStyle w:val="101"/>
              <w:rPr>
                <w:rFonts w:hint="default"/>
                <w:highlight w:val="none"/>
                <w:vertAlign w:val="baseline"/>
                <w:lang w:val="en-US" w:eastAsia="zh-CN"/>
              </w:rPr>
            </w:pPr>
          </w:p>
        </w:tc>
        <w:tc>
          <w:tcPr>
            <w:tcW w:w="1245" w:type="dxa"/>
            <w:noWrap w:val="0"/>
            <w:vAlign w:val="top"/>
          </w:tcPr>
          <w:p>
            <w:pPr>
              <w:pStyle w:val="101"/>
              <w:rPr>
                <w:rFonts w:hint="default"/>
                <w:highlight w:val="none"/>
                <w:vertAlign w:val="baseline"/>
                <w:lang w:val="en-US" w:eastAsia="zh-CN"/>
              </w:rPr>
            </w:pPr>
          </w:p>
        </w:tc>
        <w:tc>
          <w:tcPr>
            <w:tcW w:w="3178" w:type="dxa"/>
            <w:noWrap w:val="0"/>
            <w:vAlign w:val="top"/>
          </w:tcPr>
          <w:p>
            <w:pPr>
              <w:pStyle w:val="101"/>
              <w:rPr>
                <w:rFonts w:hint="default"/>
                <w:highlight w:val="none"/>
                <w:vertAlign w:val="baseline"/>
                <w:lang w:val="en-US" w:eastAsia="zh-CN"/>
              </w:rPr>
            </w:pPr>
          </w:p>
        </w:tc>
        <w:tc>
          <w:tcPr>
            <w:tcW w:w="1884" w:type="dxa"/>
            <w:noWrap w:val="0"/>
            <w:vAlign w:val="top"/>
          </w:tcPr>
          <w:p>
            <w:pPr>
              <w:pStyle w:val="101"/>
              <w:rPr>
                <w:rFonts w:hint="default"/>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883" w:type="dxa"/>
            <w:noWrap w:val="0"/>
            <w:vAlign w:val="center"/>
          </w:tcPr>
          <w:p>
            <w:pPr>
              <w:pStyle w:val="101"/>
              <w:ind w:left="0" w:leftChars="0" w:firstLine="0" w:firstLineChars="0"/>
              <w:jc w:val="center"/>
              <w:rPr>
                <w:rFonts w:hint="eastAsia" w:ascii="宋体" w:hAnsi="宋体" w:eastAsia="宋体" w:cs="宋体"/>
                <w:sz w:val="24"/>
                <w:szCs w:val="24"/>
                <w:highlight w:val="none"/>
                <w:vertAlign w:val="baseline"/>
                <w:lang w:val="en-US" w:eastAsia="zh-CN"/>
              </w:rPr>
            </w:pPr>
          </w:p>
        </w:tc>
        <w:tc>
          <w:tcPr>
            <w:tcW w:w="1226" w:type="dxa"/>
            <w:noWrap w:val="0"/>
            <w:vAlign w:val="top"/>
          </w:tcPr>
          <w:p>
            <w:pPr>
              <w:pStyle w:val="101"/>
              <w:rPr>
                <w:rFonts w:hint="default"/>
                <w:highlight w:val="none"/>
                <w:vertAlign w:val="baseline"/>
                <w:lang w:val="en-US" w:eastAsia="zh-CN"/>
              </w:rPr>
            </w:pPr>
          </w:p>
        </w:tc>
        <w:tc>
          <w:tcPr>
            <w:tcW w:w="1245" w:type="dxa"/>
            <w:noWrap w:val="0"/>
            <w:vAlign w:val="top"/>
          </w:tcPr>
          <w:p>
            <w:pPr>
              <w:pStyle w:val="101"/>
              <w:rPr>
                <w:rFonts w:hint="default"/>
                <w:highlight w:val="none"/>
                <w:vertAlign w:val="baseline"/>
                <w:lang w:val="en-US" w:eastAsia="zh-CN"/>
              </w:rPr>
            </w:pPr>
          </w:p>
        </w:tc>
        <w:tc>
          <w:tcPr>
            <w:tcW w:w="3178" w:type="dxa"/>
            <w:noWrap w:val="0"/>
            <w:vAlign w:val="top"/>
          </w:tcPr>
          <w:p>
            <w:pPr>
              <w:pStyle w:val="101"/>
              <w:rPr>
                <w:rFonts w:hint="default"/>
                <w:highlight w:val="none"/>
                <w:vertAlign w:val="baseline"/>
                <w:lang w:val="en-US" w:eastAsia="zh-CN"/>
              </w:rPr>
            </w:pPr>
          </w:p>
        </w:tc>
        <w:tc>
          <w:tcPr>
            <w:tcW w:w="1884" w:type="dxa"/>
            <w:noWrap w:val="0"/>
            <w:vAlign w:val="top"/>
          </w:tcPr>
          <w:p>
            <w:pPr>
              <w:pStyle w:val="101"/>
              <w:rPr>
                <w:rFonts w:hint="default"/>
                <w:highlight w:val="none"/>
                <w:vertAlign w:val="baseline"/>
                <w:lang w:val="en-US" w:eastAsia="zh-CN"/>
              </w:rPr>
            </w:pPr>
          </w:p>
        </w:tc>
      </w:tr>
    </w:tbl>
    <w:p/>
    <w:p>
      <w:pPr>
        <w:rPr>
          <w:rFonts w:hint="eastAsia" w:eastAsia="宋体"/>
          <w:b/>
          <w:bCs/>
          <w:lang w:eastAsia="zh-CN"/>
        </w:rPr>
      </w:pPr>
      <w:r>
        <w:rPr>
          <w:b/>
          <w:u w:val="double"/>
        </w:rPr>
        <w:t>本表附件</w:t>
      </w:r>
      <w:r>
        <w:rPr>
          <w:b/>
        </w:rPr>
        <w:t>：</w:t>
      </w:r>
      <w:r>
        <w:rPr>
          <w:rFonts w:hint="eastAsia"/>
          <w:b/>
        </w:rPr>
        <w:t>提供</w:t>
      </w:r>
      <w:r>
        <w:rPr>
          <w:rFonts w:hint="eastAsia"/>
          <w:b/>
          <w:bCs/>
        </w:rPr>
        <w:t>评分标准中“商务部分”要求的证明资料</w:t>
      </w:r>
      <w:r>
        <w:rPr>
          <w:rFonts w:hint="eastAsia"/>
          <w:b/>
          <w:bCs/>
          <w:lang w:eastAsia="zh-CN"/>
        </w:rPr>
        <w:t>。</w:t>
      </w:r>
    </w:p>
    <w:p>
      <w:pPr>
        <w:bidi w:val="0"/>
      </w:pPr>
    </w:p>
    <w:p>
      <w:pPr>
        <w:pStyle w:val="4"/>
        <w:pageBreakBefore/>
        <w:numPr>
          <w:ilvl w:val="0"/>
          <w:numId w:val="29"/>
        </w:numPr>
        <w:spacing w:afterLines="0"/>
        <w:rPr>
          <w:rFonts w:ascii="Times New Roman" w:hAnsi="Times New Roman"/>
          <w:color w:val="auto"/>
          <w:sz w:val="36"/>
          <w:szCs w:val="36"/>
        </w:rPr>
      </w:pPr>
      <w:bookmarkStart w:id="1439" w:name="_Toc4777"/>
      <w:r>
        <w:rPr>
          <w:rFonts w:hint="eastAsia" w:ascii="Times New Roman" w:hAnsi="Times New Roman"/>
          <w:color w:val="auto"/>
          <w:sz w:val="36"/>
          <w:szCs w:val="36"/>
        </w:rPr>
        <w:t>应急响应能力</w:t>
      </w:r>
      <w:bookmarkEnd w:id="1439"/>
    </w:p>
    <w:p/>
    <w:p>
      <w:pPr>
        <w:rPr>
          <w:rFonts w:hint="eastAsia" w:eastAsia="宋体"/>
          <w:b/>
          <w:bCs/>
          <w:lang w:eastAsia="zh-CN"/>
        </w:rPr>
      </w:pPr>
      <w:r>
        <w:rPr>
          <w:rFonts w:hint="eastAsia"/>
          <w:b/>
          <w:u w:val="double"/>
          <w:lang w:eastAsia="zh-CN"/>
        </w:rPr>
        <w:t>备注</w:t>
      </w:r>
      <w:r>
        <w:rPr>
          <w:b/>
        </w:rPr>
        <w:t>：</w:t>
      </w:r>
      <w:r>
        <w:rPr>
          <w:rFonts w:hint="eastAsia"/>
          <w:b/>
        </w:rPr>
        <w:t>提供</w:t>
      </w:r>
      <w:r>
        <w:rPr>
          <w:rFonts w:hint="eastAsia"/>
          <w:b/>
          <w:bCs/>
        </w:rPr>
        <w:t>评分标准中“商务部分”要求的证明资料</w:t>
      </w:r>
      <w:r>
        <w:rPr>
          <w:rFonts w:hint="eastAsia"/>
          <w:b/>
          <w:bCs/>
          <w:lang w:eastAsia="zh-CN"/>
        </w:rPr>
        <w:t>。</w:t>
      </w:r>
    </w:p>
    <w:p/>
    <w:bookmarkEnd w:id="1434"/>
    <w:bookmarkEnd w:id="1435"/>
    <w:bookmarkEnd w:id="1436"/>
    <w:bookmarkEnd w:id="1438"/>
    <w:p>
      <w:pPr>
        <w:pStyle w:val="29"/>
      </w:pPr>
      <w:bookmarkStart w:id="1440" w:name="_Toc10926"/>
      <w:bookmarkStart w:id="1441" w:name="_Toc19965"/>
      <w:bookmarkStart w:id="1442" w:name="_Toc28179"/>
      <w:bookmarkStart w:id="1443" w:name="_Toc22238"/>
    </w:p>
    <w:bookmarkEnd w:id="1440"/>
    <w:bookmarkEnd w:id="1441"/>
    <w:bookmarkEnd w:id="1442"/>
    <w:bookmarkEnd w:id="1443"/>
    <w:p>
      <w:pPr>
        <w:pStyle w:val="3"/>
        <w:pageBreakBefore/>
        <w:rPr>
          <w:b w:val="0"/>
          <w:bCs/>
          <w:color w:val="auto"/>
          <w:sz w:val="52"/>
        </w:rPr>
        <w:sectPr>
          <w:headerReference r:id="rId15" w:type="default"/>
          <w:pgSz w:w="11906" w:h="16838"/>
          <w:pgMar w:top="1134" w:right="1134" w:bottom="1134" w:left="1588" w:header="567" w:footer="737" w:gutter="0"/>
          <w:pgNumType w:fmt="decimal"/>
          <w:cols w:space="720" w:num="1"/>
          <w:docGrid w:type="lines" w:linePitch="312" w:charSpace="0"/>
        </w:sectPr>
      </w:pPr>
      <w:bookmarkStart w:id="1444" w:name="_投标报价汇总表_1"/>
      <w:bookmarkEnd w:id="1444"/>
      <w:bookmarkStart w:id="1445" w:name="_Toc29069"/>
      <w:bookmarkStart w:id="1446" w:name="_Toc9991"/>
      <w:bookmarkStart w:id="1447" w:name="_Toc10979"/>
      <w:r>
        <w:rPr>
          <w:b w:val="0"/>
          <w:bCs/>
          <w:color w:val="auto"/>
          <w:sz w:val="52"/>
        </w:rPr>
        <w:fldChar w:fldCharType="begin"/>
      </w:r>
      <w:r>
        <w:rPr>
          <w:b w:val="0"/>
          <w:bCs/>
          <w:color w:val="auto"/>
          <w:sz w:val="52"/>
        </w:rPr>
        <w:instrText xml:space="preserve"> HYPERLINK  \l "_投标文件目录"</w:instrText>
      </w:r>
      <w:r>
        <w:rPr>
          <w:b w:val="0"/>
          <w:bCs/>
          <w:color w:val="auto"/>
          <w:sz w:val="52"/>
        </w:rPr>
        <w:fldChar w:fldCharType="separate"/>
      </w:r>
      <w:bookmarkStart w:id="1448" w:name="_Toc419106580"/>
      <w:bookmarkStart w:id="1449" w:name="_Toc240108119"/>
      <w:bookmarkStart w:id="1450" w:name="_Toc259803672"/>
      <w:r>
        <w:rPr>
          <w:rFonts w:hint="eastAsia"/>
          <w:b w:val="0"/>
          <w:bCs/>
          <w:color w:val="auto"/>
          <w:sz w:val="52"/>
        </w:rPr>
        <w:t>第四章  技术部分</w:t>
      </w:r>
      <w:bookmarkEnd w:id="1448"/>
      <w:bookmarkEnd w:id="1449"/>
      <w:bookmarkEnd w:id="1450"/>
      <w:r>
        <w:rPr>
          <w:b w:val="0"/>
          <w:bCs/>
          <w:color w:val="auto"/>
          <w:sz w:val="52"/>
        </w:rPr>
        <w:fldChar w:fldCharType="end"/>
      </w:r>
      <w:bookmarkEnd w:id="1445"/>
      <w:bookmarkEnd w:id="1446"/>
    </w:p>
    <w:p>
      <w:pPr>
        <w:pStyle w:val="4"/>
        <w:pageBreakBefore/>
        <w:numPr>
          <w:ilvl w:val="0"/>
          <w:numId w:val="35"/>
        </w:numPr>
        <w:spacing w:afterLines="0"/>
        <w:rPr>
          <w:rFonts w:ascii="Times New Roman" w:hAnsi="Times New Roman"/>
          <w:color w:val="auto"/>
          <w:sz w:val="36"/>
          <w:szCs w:val="36"/>
        </w:rPr>
      </w:pPr>
      <w:bookmarkStart w:id="1451" w:name="_组织实施方案"/>
      <w:bookmarkEnd w:id="1451"/>
      <w:bookmarkStart w:id="1452" w:name="_方案设计与组织实施"/>
      <w:bookmarkEnd w:id="1452"/>
      <w:bookmarkStart w:id="1453" w:name="_Toc108234924"/>
      <w:bookmarkStart w:id="1454" w:name="_Toc136682924"/>
      <w:bookmarkStart w:id="1455" w:name="_Toc37670367"/>
      <w:bookmarkStart w:id="1456" w:name="_Toc25339"/>
      <w:bookmarkStart w:id="1457" w:name="_Toc21248"/>
      <w:bookmarkStart w:id="1458" w:name="_Toc25567"/>
      <w:bookmarkStart w:id="1459" w:name="_Toc136662948"/>
      <w:bookmarkStart w:id="1460" w:name="_Toc19766"/>
      <w:bookmarkStart w:id="1461" w:name="_Toc5275"/>
      <w:bookmarkStart w:id="1462" w:name="_Toc49329271"/>
      <w:bookmarkStart w:id="1463" w:name="_Toc6894"/>
      <w:bookmarkStart w:id="1464" w:name="_Toc119321159"/>
      <w:r>
        <w:rPr>
          <w:rFonts w:hint="eastAsia" w:ascii="Times New Roman" w:hAnsi="Times New Roman"/>
          <w:color w:val="auto"/>
          <w:sz w:val="36"/>
          <w:szCs w:val="36"/>
        </w:rPr>
        <w:fldChar w:fldCharType="begin"/>
      </w:r>
      <w:r>
        <w:rPr>
          <w:rFonts w:hint="eastAsia" w:ascii="Times New Roman" w:hAnsi="Times New Roman"/>
          <w:color w:val="auto"/>
          <w:sz w:val="36"/>
          <w:szCs w:val="36"/>
        </w:rPr>
        <w:instrText xml:space="preserve">DOCVARIABLE  设备技术响应表开始  \* MERGEFORMAT</w:instrText>
      </w:r>
      <w:r>
        <w:rPr>
          <w:rFonts w:hint="eastAsia" w:ascii="Times New Roman" w:hAnsi="Times New Roman"/>
          <w:color w:val="auto"/>
          <w:sz w:val="36"/>
          <w:szCs w:val="36"/>
        </w:rPr>
        <w:fldChar w:fldCharType="end"/>
      </w:r>
      <w:bookmarkStart w:id="1465" w:name="_Toc159385085"/>
      <w:bookmarkStart w:id="1466" w:name="_Toc419106581"/>
      <w:r>
        <w:rPr>
          <w:rFonts w:hint="eastAsia" w:ascii="Times New Roman" w:hAnsi="Times New Roman"/>
          <w:color w:val="auto"/>
          <w:sz w:val="36"/>
          <w:szCs w:val="36"/>
        </w:rPr>
        <w:t>技术条款响应表</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tbl>
      <w:tblPr>
        <w:tblStyle w:val="24"/>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338"/>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blHeader/>
          <w:jc w:val="center"/>
        </w:trPr>
        <w:tc>
          <w:tcPr>
            <w:tcW w:w="8783" w:type="dxa"/>
            <w:gridSpan w:val="3"/>
            <w:tcBorders>
              <w:top w:val="single" w:color="auto" w:sz="4" w:space="0"/>
              <w:left w:val="single" w:color="auto" w:sz="4" w:space="0"/>
              <w:bottom w:val="single" w:color="auto" w:sz="4" w:space="0"/>
              <w:right w:val="single" w:color="auto" w:sz="4" w:space="0"/>
            </w:tcBorders>
            <w:shd w:val="clear" w:color="auto" w:fill="F3F3F3"/>
            <w:vAlign w:val="center"/>
          </w:tcPr>
          <w:p>
            <w:pPr>
              <w:rPr>
                <w:rFonts w:ascii="黑体" w:eastAsia="黑体"/>
                <w:b/>
                <w:bCs/>
              </w:rPr>
            </w:pPr>
            <w:r>
              <w:rPr>
                <w:rFonts w:hint="eastAsia"/>
                <w:b/>
              </w:rPr>
              <w:t>一、技术参数响应情况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blHeader/>
          <w:jc w:val="center"/>
        </w:trPr>
        <w:tc>
          <w:tcPr>
            <w:tcW w:w="648" w:type="dxa"/>
            <w:tcBorders>
              <w:top w:val="single" w:color="auto" w:sz="4" w:space="0"/>
              <w:left w:val="single" w:color="auto" w:sz="4" w:space="0"/>
              <w:bottom w:val="single" w:color="auto" w:sz="4" w:space="0"/>
              <w:right w:val="single" w:color="auto" w:sz="4" w:space="0"/>
            </w:tcBorders>
            <w:shd w:val="clear" w:color="auto" w:fill="F3F3F3"/>
            <w:vAlign w:val="center"/>
          </w:tcPr>
          <w:p>
            <w:pPr>
              <w:rPr>
                <w:rFonts w:ascii="宋体" w:hAnsi="宋体" w:cs="宋体"/>
                <w:b/>
                <w:bCs/>
              </w:rPr>
            </w:pPr>
            <w:r>
              <w:rPr>
                <w:rFonts w:hint="eastAsia" w:ascii="宋体" w:hAnsi="宋体" w:cs="宋体"/>
                <w:b/>
                <w:bCs/>
              </w:rPr>
              <w:t>序号</w:t>
            </w:r>
          </w:p>
        </w:tc>
        <w:tc>
          <w:tcPr>
            <w:tcW w:w="6338" w:type="dxa"/>
            <w:tcBorders>
              <w:top w:val="single" w:color="auto" w:sz="4" w:space="0"/>
              <w:left w:val="single" w:color="auto" w:sz="4" w:space="0"/>
              <w:bottom w:val="single" w:color="auto" w:sz="4" w:space="0"/>
              <w:right w:val="single" w:color="auto" w:sz="4" w:space="0"/>
            </w:tcBorders>
            <w:shd w:val="clear" w:color="auto" w:fill="F3F3F3"/>
            <w:vAlign w:val="center"/>
          </w:tcPr>
          <w:p>
            <w:pPr>
              <w:jc w:val="center"/>
              <w:rPr>
                <w:rFonts w:ascii="宋体" w:hAnsi="宋体" w:cs="宋体"/>
                <w:b/>
                <w:bCs/>
              </w:rPr>
            </w:pPr>
            <w:r>
              <w:rPr>
                <w:rFonts w:hint="eastAsia" w:ascii="宋体" w:hAnsi="宋体" w:cs="宋体"/>
                <w:b/>
                <w:bCs/>
              </w:rPr>
              <w:t>主要技术条款</w:t>
            </w:r>
          </w:p>
        </w:tc>
        <w:tc>
          <w:tcPr>
            <w:tcW w:w="1797" w:type="dxa"/>
            <w:tcBorders>
              <w:top w:val="single" w:color="auto" w:sz="4" w:space="0"/>
              <w:left w:val="single" w:color="auto" w:sz="4" w:space="0"/>
              <w:bottom w:val="single" w:color="auto" w:sz="4" w:space="0"/>
              <w:right w:val="single" w:color="auto" w:sz="4" w:space="0"/>
            </w:tcBorders>
            <w:shd w:val="clear" w:color="auto" w:fill="F3F3F3"/>
            <w:vAlign w:val="center"/>
          </w:tcPr>
          <w:p>
            <w:pPr>
              <w:jc w:val="center"/>
              <w:rPr>
                <w:rFonts w:ascii="宋体" w:hAnsi="宋体" w:cs="宋体"/>
                <w:b/>
                <w:bCs/>
              </w:rPr>
            </w:pPr>
            <w:r>
              <w:rPr>
                <w:rFonts w:hint="eastAsia" w:ascii="宋体" w:hAnsi="宋体" w:cs="宋体"/>
                <w:b/>
                <w:bCs/>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36"/>
              </w:numPr>
              <w:jc w:val="center"/>
              <w:rPr>
                <w:rFonts w:ascii="宋体" w:hAnsi="宋体" w:cs="宋体"/>
              </w:rPr>
            </w:pPr>
          </w:p>
        </w:tc>
        <w:tc>
          <w:tcPr>
            <w:tcW w:w="633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rPr>
            </w:pPr>
            <w:r>
              <w:rPr>
                <w:rFonts w:hint="eastAsia" w:ascii="宋体" w:hAnsi="宋体" w:cs="宋体"/>
              </w:rPr>
              <w:t>完全理解对服务的各项要求、项目实施效果、实现目标等。</w:t>
            </w:r>
          </w:p>
        </w:tc>
        <w:tc>
          <w:tcPr>
            <w:tcW w:w="17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36"/>
              </w:numPr>
              <w:jc w:val="center"/>
              <w:rPr>
                <w:rFonts w:ascii="宋体" w:hAnsi="宋体" w:cs="宋体"/>
              </w:rPr>
            </w:pPr>
          </w:p>
        </w:tc>
        <w:tc>
          <w:tcPr>
            <w:tcW w:w="633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rPr>
            </w:pPr>
            <w:r>
              <w:rPr>
                <w:rFonts w:hint="eastAsia" w:ascii="宋体" w:hAnsi="宋体" w:cs="宋体"/>
                <w:b/>
              </w:rPr>
              <w:t>采购文件中的全部技术条款均能完全响应</w:t>
            </w:r>
          </w:p>
        </w:tc>
        <w:tc>
          <w:tcPr>
            <w:tcW w:w="17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36"/>
              </w:numPr>
              <w:jc w:val="center"/>
              <w:rPr>
                <w:rFonts w:ascii="宋体" w:hAnsi="宋体" w:cs="宋体"/>
              </w:rPr>
            </w:pPr>
          </w:p>
        </w:tc>
        <w:tc>
          <w:tcPr>
            <w:tcW w:w="633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rPr>
            </w:pPr>
            <w:r>
              <w:rPr>
                <w:rFonts w:hint="eastAsia" w:ascii="宋体" w:hAnsi="宋体" w:cs="宋体"/>
                <w:b/>
              </w:rPr>
              <w:t>采购方发布的补充通知中各项技术要求（如有）</w:t>
            </w:r>
          </w:p>
        </w:tc>
        <w:tc>
          <w:tcPr>
            <w:tcW w:w="17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36"/>
              </w:numPr>
              <w:jc w:val="center"/>
              <w:rPr>
                <w:rFonts w:ascii="宋体" w:hAnsi="宋体" w:cs="宋体"/>
              </w:rPr>
            </w:pPr>
          </w:p>
        </w:tc>
        <w:tc>
          <w:tcPr>
            <w:tcW w:w="633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rPr>
            </w:pPr>
            <w:r>
              <w:rPr>
                <w:rFonts w:hint="eastAsia" w:ascii="宋体" w:hAnsi="宋体" w:cs="宋体"/>
              </w:rPr>
              <w:t>同意采购方以任何形式对我方提供的技术部分内容的真实性和有效性进行公开审查验证。</w:t>
            </w:r>
          </w:p>
        </w:tc>
        <w:tc>
          <w:tcPr>
            <w:tcW w:w="17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783"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pPr>
              <w:rPr>
                <w:rFonts w:ascii="宋体" w:hAnsi="宋体" w:cs="宋体"/>
              </w:rPr>
            </w:pPr>
            <w:r>
              <w:rPr>
                <w:rFonts w:hint="eastAsia" w:ascii="宋体" w:hAnsi="宋体" w:cs="宋体"/>
                <w:b/>
              </w:rPr>
              <w:t>二、技术参数偏离情况说明（如有）：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78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r>
    </w:tbl>
    <w:p>
      <w:pPr>
        <w:ind w:left="630" w:hanging="630" w:hangingChars="300"/>
        <w:rPr>
          <w:rFonts w:ascii="宋体" w:hAnsi="宋体" w:cs="宋体"/>
        </w:rPr>
      </w:pPr>
    </w:p>
    <w:p>
      <w:pPr>
        <w:ind w:left="840" w:hanging="840" w:hangingChars="400"/>
        <w:rPr>
          <w:rFonts w:ascii="宋体" w:hAnsi="宋体" w:cs="宋体"/>
        </w:rPr>
      </w:pPr>
      <w:r>
        <w:rPr>
          <w:rFonts w:hint="eastAsia" w:ascii="宋体" w:hAnsi="宋体" w:cs="宋体"/>
        </w:rPr>
        <w:t>填表说明：</w:t>
      </w:r>
    </w:p>
    <w:p>
      <w:pPr>
        <w:ind w:left="840" w:leftChars="200" w:hanging="420" w:hangingChars="200"/>
        <w:rPr>
          <w:rFonts w:ascii="宋体" w:hAnsi="宋体" w:cs="宋体"/>
        </w:rPr>
      </w:pPr>
      <w:r>
        <w:rPr>
          <w:rFonts w:hint="eastAsia" w:ascii="宋体" w:hAnsi="宋体" w:cs="宋体"/>
        </w:rPr>
        <w:t>1、响应栏内空白或打“√”表示完全响应；对打“×”视为偏离，若技术参数存在偏离，请在“技术参数偏离情况说明栏”扼要描述。</w:t>
      </w:r>
    </w:p>
    <w:p>
      <w:pPr>
        <w:ind w:firstLine="420"/>
        <w:rPr>
          <w:rFonts w:ascii="宋体" w:hAnsi="宋体" w:cs="宋体"/>
        </w:rPr>
      </w:pPr>
      <w:r>
        <w:rPr>
          <w:rFonts w:hint="eastAsia" w:ascii="宋体" w:hAnsi="宋体" w:cs="宋体"/>
        </w:rPr>
        <w:t>2、本文件中有“★”标注项为不可负偏离(劣于)的重要项。</w:t>
      </w:r>
    </w:p>
    <w:p>
      <w:pPr>
        <w:ind w:firstLine="420"/>
        <w:rPr>
          <w:rFonts w:ascii="宋体" w:hAnsi="宋体" w:cs="宋体"/>
        </w:rPr>
      </w:pPr>
      <w:r>
        <w:rPr>
          <w:rFonts w:hint="eastAsia" w:ascii="宋体" w:hAnsi="宋体" w:cs="宋体"/>
          <w:lang w:val="en-US" w:eastAsia="zh-CN"/>
        </w:rPr>
        <w:t>3</w:t>
      </w:r>
      <w:r>
        <w:rPr>
          <w:rFonts w:hint="eastAsia" w:ascii="宋体" w:hAnsi="宋体" w:cs="宋体"/>
        </w:rPr>
        <w:t>、若上述技术条款内容与“采购项目技术要求”列述不一致时，均以“采购项目技术要求”详细内容为准。</w:t>
      </w:r>
    </w:p>
    <w:p>
      <w:pPr>
        <w:ind w:firstLine="420"/>
        <w:rPr>
          <w:rFonts w:ascii="宋体" w:hAnsi="宋体" w:cs="宋体"/>
        </w:rPr>
      </w:pPr>
      <w:r>
        <w:rPr>
          <w:rFonts w:hint="eastAsia" w:ascii="宋体" w:hAnsi="宋体" w:cs="宋体"/>
          <w:lang w:val="en-US" w:eastAsia="zh-CN"/>
        </w:rPr>
        <w:t>4</w:t>
      </w:r>
      <w:r>
        <w:rPr>
          <w:rFonts w:hint="eastAsia" w:ascii="宋体" w:hAnsi="宋体" w:cs="宋体"/>
        </w:rPr>
        <w:t>、本表内容不得擅自删改。</w:t>
      </w:r>
    </w:p>
    <w:p>
      <w:pPr>
        <w:spacing w:line="360" w:lineRule="auto"/>
      </w:pPr>
    </w:p>
    <w:p>
      <w:pPr>
        <w:tabs>
          <w:tab w:val="left" w:pos="5103"/>
        </w:tabs>
        <w:spacing w:line="360" w:lineRule="auto"/>
        <w:rPr>
          <w:rFonts w:hint="eastAsia"/>
          <w:b/>
        </w:rPr>
      </w:pPr>
      <w:r>
        <w:rPr>
          <w:rFonts w:hint="eastAsia"/>
          <w:b/>
        </w:rPr>
        <w:t>供应商名称：</w:t>
      </w:r>
      <w:r>
        <w:rPr>
          <w:rFonts w:hint="eastAsia"/>
          <w:b/>
          <w:u w:val="single"/>
        </w:rPr>
        <w:t xml:space="preserve">        （全称）           </w:t>
      </w:r>
      <w:r>
        <w:rPr>
          <w:rFonts w:hint="eastAsia"/>
          <w:b/>
        </w:rPr>
        <w:t xml:space="preserve"> （加盖供应商公章）</w:t>
      </w:r>
      <w:bookmarkStart w:id="1467" w:name="_Toc5519"/>
      <w:bookmarkStart w:id="1468" w:name="_Toc419106582"/>
      <w:bookmarkStart w:id="1469" w:name="_Toc2734"/>
      <w:bookmarkStart w:id="1470" w:name="_Toc15506"/>
    </w:p>
    <w:p>
      <w:pPr>
        <w:rPr>
          <w:rFonts w:ascii="Times New Roman" w:hAnsi="Times New Roman"/>
          <w:color w:val="auto"/>
          <w:sz w:val="36"/>
          <w:szCs w:val="36"/>
        </w:rPr>
      </w:pPr>
      <w:bookmarkStart w:id="1471" w:name="_Toc25399"/>
      <w:bookmarkStart w:id="1472" w:name="_Toc24707"/>
      <w:bookmarkStart w:id="1473" w:name="_Toc22345"/>
      <w:r>
        <w:rPr>
          <w:rFonts w:hint="eastAsia" w:ascii="Times New Roman" w:hAnsi="Times New Roman"/>
          <w:color w:val="auto"/>
          <w:sz w:val="36"/>
          <w:szCs w:val="36"/>
        </w:rPr>
        <w:br w:type="page"/>
      </w:r>
    </w:p>
    <w:p>
      <w:pPr>
        <w:pStyle w:val="4"/>
        <w:pageBreakBefore/>
        <w:numPr>
          <w:ilvl w:val="0"/>
          <w:numId w:val="35"/>
        </w:numPr>
        <w:spacing w:afterLines="0"/>
        <w:rPr>
          <w:rFonts w:ascii="Times New Roman" w:hAnsi="Times New Roman"/>
          <w:color w:val="auto"/>
          <w:sz w:val="36"/>
          <w:szCs w:val="36"/>
        </w:rPr>
      </w:pPr>
      <w:r>
        <w:rPr>
          <w:rFonts w:hint="eastAsia" w:ascii="Times New Roman" w:hAnsi="Times New Roman"/>
          <w:color w:val="auto"/>
          <w:sz w:val="36"/>
          <w:szCs w:val="36"/>
        </w:rPr>
        <w:t>技术方案总体内容</w:t>
      </w:r>
      <w:bookmarkEnd w:id="1467"/>
      <w:bookmarkEnd w:id="1468"/>
      <w:bookmarkEnd w:id="1469"/>
      <w:bookmarkEnd w:id="1470"/>
      <w:bookmarkEnd w:id="1471"/>
      <w:bookmarkEnd w:id="1472"/>
      <w:bookmarkEnd w:id="1473"/>
    </w:p>
    <w:p>
      <w:pPr>
        <w:tabs>
          <w:tab w:val="left" w:pos="1322"/>
        </w:tabs>
        <w:spacing w:line="360" w:lineRule="auto"/>
        <w:ind w:firstLine="422" w:firstLineChars="200"/>
        <w:rPr>
          <w:b/>
        </w:rPr>
      </w:pPr>
      <w:r>
        <w:rPr>
          <w:rFonts w:hint="eastAsia"/>
          <w:b/>
        </w:rPr>
        <w:t>技术方案必须科学合理、真实可行，能充分体现出自身</w:t>
      </w:r>
      <w:r>
        <w:rPr>
          <w:rFonts w:hint="eastAsia" w:ascii="宋体" w:hAnsi="宋体"/>
          <w:b/>
        </w:rPr>
        <w:t>技术和专业优势</w:t>
      </w:r>
      <w:r>
        <w:rPr>
          <w:rFonts w:hint="eastAsia"/>
          <w:b/>
        </w:rPr>
        <w:t>。技术方案必须对应评审方法中评审子项的顺序逐一进行描述，格式自拟</w:t>
      </w:r>
      <w:r>
        <w:rPr>
          <w:rFonts w:hint="eastAsia"/>
          <w:b/>
          <w:lang w:eastAsia="zh-CN"/>
        </w:rPr>
        <w:t>，包括但不限于以下内容</w:t>
      </w:r>
      <w:r>
        <w:rPr>
          <w:rFonts w:hint="eastAsia"/>
          <w:b/>
        </w:rPr>
        <w:t>：</w:t>
      </w:r>
    </w:p>
    <w:p>
      <w:pPr>
        <w:numPr>
          <w:ilvl w:val="0"/>
          <w:numId w:val="37"/>
        </w:numPr>
        <w:tabs>
          <w:tab w:val="left" w:pos="1322"/>
        </w:tabs>
        <w:spacing w:line="360" w:lineRule="auto"/>
        <w:ind w:left="420" w:leftChars="0" w:firstLine="0" w:firstLineChars="0"/>
        <w:rPr>
          <w:rFonts w:hint="eastAsia" w:ascii="Times New Roman" w:hAnsi="Times New Roman" w:eastAsia="宋体" w:cs="Times New Roman"/>
          <w:b/>
          <w:lang w:val="en-US" w:eastAsia="zh-CN"/>
        </w:rPr>
      </w:pPr>
      <w:r>
        <w:rPr>
          <w:rFonts w:hint="eastAsia" w:ascii="Times New Roman" w:hAnsi="Times New Roman" w:eastAsia="宋体" w:cs="Times New Roman"/>
          <w:b/>
          <w:lang w:val="en-US" w:eastAsia="zh-CN"/>
        </w:rPr>
        <w:t>整体施工方案</w:t>
      </w:r>
    </w:p>
    <w:p>
      <w:pPr>
        <w:numPr>
          <w:ilvl w:val="0"/>
          <w:numId w:val="37"/>
        </w:numPr>
        <w:tabs>
          <w:tab w:val="left" w:pos="1322"/>
        </w:tabs>
        <w:spacing w:line="360" w:lineRule="auto"/>
        <w:ind w:left="420" w:leftChars="0" w:firstLine="0" w:firstLineChars="0"/>
        <w:rPr>
          <w:rFonts w:hint="default" w:ascii="Times New Roman" w:hAnsi="Times New Roman" w:eastAsia="宋体" w:cs="Times New Roman"/>
          <w:b/>
          <w:lang w:val="en-US" w:eastAsia="zh-CN"/>
        </w:rPr>
      </w:pPr>
      <w:r>
        <w:rPr>
          <w:rFonts w:hint="default" w:ascii="Times New Roman" w:hAnsi="Times New Roman" w:eastAsia="宋体" w:cs="Times New Roman"/>
          <w:b/>
          <w:lang w:val="en-US" w:eastAsia="zh-CN"/>
        </w:rPr>
        <w:t>进度控制方案</w:t>
      </w:r>
    </w:p>
    <w:p>
      <w:pPr>
        <w:numPr>
          <w:ilvl w:val="0"/>
          <w:numId w:val="37"/>
        </w:numPr>
        <w:tabs>
          <w:tab w:val="left" w:pos="1322"/>
        </w:tabs>
        <w:spacing w:line="360" w:lineRule="auto"/>
        <w:ind w:left="420" w:leftChars="0" w:firstLine="0" w:firstLineChars="0"/>
        <w:rPr>
          <w:rFonts w:hint="default" w:ascii="Times New Roman" w:hAnsi="Times New Roman" w:eastAsia="宋体" w:cs="Times New Roman"/>
          <w:b/>
          <w:lang w:val="en-US" w:eastAsia="zh-CN"/>
        </w:rPr>
      </w:pPr>
      <w:r>
        <w:rPr>
          <w:rFonts w:hint="default" w:ascii="Times New Roman" w:hAnsi="Times New Roman" w:eastAsia="宋体" w:cs="Times New Roman"/>
          <w:b/>
          <w:lang w:val="en-US" w:eastAsia="zh-CN"/>
        </w:rPr>
        <w:t>工程施工重点难点认识</w:t>
      </w:r>
    </w:p>
    <w:p>
      <w:pPr>
        <w:numPr>
          <w:ilvl w:val="0"/>
          <w:numId w:val="37"/>
        </w:numPr>
        <w:tabs>
          <w:tab w:val="left" w:pos="1322"/>
        </w:tabs>
        <w:spacing w:line="360" w:lineRule="auto"/>
        <w:ind w:left="420" w:leftChars="0" w:firstLine="0" w:firstLineChars="0"/>
        <w:rPr>
          <w:rFonts w:hint="default" w:ascii="Times New Roman" w:hAnsi="Times New Roman" w:eastAsia="宋体" w:cs="Times New Roman"/>
          <w:b/>
          <w:lang w:val="en-US" w:eastAsia="zh-CN"/>
        </w:rPr>
      </w:pPr>
      <w:r>
        <w:rPr>
          <w:rFonts w:hint="default" w:ascii="Times New Roman" w:hAnsi="Times New Roman" w:eastAsia="宋体" w:cs="Times New Roman"/>
          <w:b/>
          <w:lang w:val="en-US" w:eastAsia="zh-CN"/>
        </w:rPr>
        <w:t>安全文明施工措施</w:t>
      </w:r>
    </w:p>
    <w:p>
      <w:pPr>
        <w:numPr>
          <w:ilvl w:val="0"/>
          <w:numId w:val="37"/>
        </w:numPr>
        <w:tabs>
          <w:tab w:val="left" w:pos="1322"/>
        </w:tabs>
        <w:spacing w:line="360" w:lineRule="auto"/>
        <w:ind w:left="420" w:leftChars="0" w:firstLine="0" w:firstLineChars="0"/>
        <w:rPr>
          <w:rFonts w:hint="default" w:ascii="Times New Roman" w:hAnsi="Times New Roman" w:eastAsia="宋体" w:cs="Times New Roman"/>
          <w:b/>
          <w:lang w:val="en-US" w:eastAsia="zh-CN"/>
        </w:rPr>
      </w:pPr>
      <w:r>
        <w:rPr>
          <w:rFonts w:hint="default" w:ascii="Times New Roman" w:hAnsi="Times New Roman" w:eastAsia="宋体" w:cs="Times New Roman"/>
          <w:b/>
          <w:lang w:val="en-US" w:eastAsia="zh-CN"/>
        </w:rPr>
        <w:t>质量保证措施</w:t>
      </w:r>
    </w:p>
    <w:p>
      <w:pPr>
        <w:pStyle w:val="3"/>
        <w:pageBreakBefore/>
        <w:rPr>
          <w:b w:val="0"/>
          <w:bCs/>
          <w:color w:val="auto"/>
          <w:sz w:val="52"/>
        </w:rPr>
        <w:sectPr>
          <w:headerReference r:id="rId16" w:type="default"/>
          <w:pgSz w:w="11906" w:h="16838"/>
          <w:pgMar w:top="1134" w:right="1134" w:bottom="1134" w:left="1587" w:header="567" w:footer="737" w:gutter="0"/>
          <w:pgNumType w:fmt="decimal"/>
          <w:cols w:space="720" w:num="1"/>
          <w:docGrid w:type="lines" w:linePitch="312" w:charSpace="0"/>
        </w:sectPr>
      </w:pPr>
      <w:bookmarkStart w:id="1474" w:name="_Toc14829"/>
      <w:bookmarkStart w:id="1475" w:name="_Toc2733"/>
      <w:r>
        <w:rPr>
          <w:b w:val="0"/>
          <w:bCs/>
          <w:color w:val="auto"/>
          <w:sz w:val="52"/>
        </w:rPr>
        <w:fldChar w:fldCharType="begin"/>
      </w:r>
      <w:r>
        <w:rPr>
          <w:b w:val="0"/>
          <w:bCs/>
          <w:color w:val="auto"/>
          <w:sz w:val="52"/>
        </w:rPr>
        <w:instrText xml:space="preserve"> HYPERLINK  \l "_投标文件目录"</w:instrText>
      </w:r>
      <w:r>
        <w:rPr>
          <w:b w:val="0"/>
          <w:bCs/>
          <w:color w:val="auto"/>
          <w:sz w:val="52"/>
        </w:rPr>
        <w:fldChar w:fldCharType="separate"/>
      </w:r>
      <w:r>
        <w:rPr>
          <w:rFonts w:hint="eastAsia"/>
          <w:b w:val="0"/>
          <w:bCs/>
          <w:color w:val="auto"/>
          <w:sz w:val="52"/>
        </w:rPr>
        <w:t>第五章  价格部分</w:t>
      </w:r>
      <w:r>
        <w:rPr>
          <w:b w:val="0"/>
          <w:bCs/>
          <w:color w:val="auto"/>
          <w:sz w:val="52"/>
        </w:rPr>
        <w:fldChar w:fldCharType="end"/>
      </w:r>
      <w:bookmarkEnd w:id="1474"/>
      <w:bookmarkEnd w:id="1475"/>
    </w:p>
    <w:p>
      <w:pPr>
        <w:pStyle w:val="4"/>
        <w:pageBreakBefore/>
        <w:spacing w:afterLines="0"/>
        <w:ind w:left="284"/>
        <w:rPr>
          <w:rFonts w:ascii="Times New Roman" w:hAnsi="Times New Roman"/>
          <w:color w:val="auto"/>
          <w:sz w:val="36"/>
          <w:szCs w:val="36"/>
        </w:rPr>
      </w:pPr>
      <w:bookmarkStart w:id="1476" w:name="_Toc26228"/>
      <w:bookmarkStart w:id="1477" w:name="_Toc19909"/>
      <w:bookmarkStart w:id="1478" w:name="_Toc2300"/>
      <w:bookmarkStart w:id="1479" w:name="_Toc20172"/>
      <w:bookmarkStart w:id="1480" w:name="_Toc24136"/>
      <w:bookmarkStart w:id="1481" w:name="_Toc25898"/>
      <w:r>
        <w:rPr>
          <w:rFonts w:hint="eastAsia" w:ascii="Times New Roman" w:hAnsi="Times New Roman"/>
          <w:color w:val="auto"/>
          <w:sz w:val="36"/>
          <w:szCs w:val="36"/>
        </w:rPr>
        <w:t>5.1</w:t>
      </w:r>
      <w:bookmarkEnd w:id="1447"/>
      <w:bookmarkEnd w:id="1476"/>
      <w:bookmarkEnd w:id="1477"/>
      <w:bookmarkEnd w:id="1478"/>
      <w:r>
        <w:rPr>
          <w:rFonts w:hint="eastAsia" w:ascii="Times New Roman" w:hAnsi="Times New Roman"/>
          <w:color w:val="auto"/>
          <w:sz w:val="36"/>
          <w:szCs w:val="36"/>
          <w:lang w:val="en-GB"/>
        </w:rPr>
        <w:t>磋商报价汇总表</w:t>
      </w:r>
      <w:bookmarkEnd w:id="1479"/>
      <w:bookmarkEnd w:id="1480"/>
      <w:bookmarkEnd w:id="1481"/>
    </w:p>
    <w:p>
      <w:pPr>
        <w:spacing w:line="360" w:lineRule="auto"/>
        <w:jc w:val="left"/>
        <w:rPr>
          <w:bCs/>
        </w:rPr>
      </w:pPr>
    </w:p>
    <w:p>
      <w:pPr>
        <w:tabs>
          <w:tab w:val="left" w:pos="5940"/>
        </w:tabs>
        <w:spacing w:line="360" w:lineRule="auto"/>
        <w:jc w:val="left"/>
        <w:rPr>
          <w:rFonts w:ascii="宋体" w:hAnsi="宋体" w:cs="宋体"/>
          <w:bCs/>
        </w:rPr>
      </w:pPr>
      <w:r>
        <w:rPr>
          <w:rFonts w:hint="eastAsia" w:ascii="宋体" w:hAnsi="宋体" w:cs="宋体"/>
          <w:bCs/>
        </w:rPr>
        <w:t>项目名称：</w:t>
      </w:r>
      <w:r>
        <w:rPr>
          <w:rFonts w:hint="eastAsia" w:ascii="宋体" w:hAnsi="宋体" w:cs="宋体"/>
          <w:bCs/>
          <w:lang w:eastAsia="zh-CN"/>
        </w:rPr>
        <w:t>佛山市公安局铺设电缆</w:t>
      </w:r>
      <w:r>
        <w:rPr>
          <w:rFonts w:hint="eastAsia" w:ascii="宋体" w:hAnsi="宋体" w:cs="宋体"/>
        </w:rPr>
        <w:fldChar w:fldCharType="begin"/>
      </w:r>
      <w:r>
        <w:rPr>
          <w:rFonts w:hint="eastAsia" w:ascii="宋体" w:hAnsi="宋体" w:cs="宋体"/>
        </w:rPr>
        <w:instrText xml:space="preserve"> DOCVARIABLE  项目名称  \* MERGEFORMAT </w:instrText>
      </w:r>
      <w:r>
        <w:rPr>
          <w:rFonts w:hint="eastAsia" w:ascii="宋体" w:hAnsi="宋体" w:cs="宋体"/>
        </w:rPr>
        <w:fldChar w:fldCharType="end"/>
      </w:r>
    </w:p>
    <w:p>
      <w:pPr>
        <w:tabs>
          <w:tab w:val="left" w:pos="5940"/>
        </w:tabs>
        <w:spacing w:line="360" w:lineRule="auto"/>
        <w:jc w:val="left"/>
        <w:rPr>
          <w:bCs/>
        </w:rPr>
      </w:pPr>
      <w:r>
        <w:rPr>
          <w:rFonts w:hint="eastAsia" w:ascii="宋体" w:hAnsi="宋体" w:cs="宋体"/>
          <w:bCs/>
          <w:lang w:eastAsia="zh-CN"/>
        </w:rPr>
        <w:t>项目编号：</w:t>
      </w:r>
      <w:r>
        <w:rPr>
          <w:rFonts w:hint="eastAsia" w:ascii="宋体" w:hAnsi="宋体" w:eastAsia="宋体" w:cs="宋体"/>
          <w:bCs/>
          <w:lang w:eastAsia="zh-CN"/>
        </w:rPr>
        <w:t>fsganb202404005</w:t>
      </w:r>
    </w:p>
    <w:tbl>
      <w:tblPr>
        <w:tblStyle w:val="24"/>
        <w:tblW w:w="9263" w:type="dxa"/>
        <w:tblInd w:w="0" w:type="dxa"/>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Layout w:type="fixed"/>
        <w:tblCellMar>
          <w:top w:w="0" w:type="dxa"/>
          <w:left w:w="108" w:type="dxa"/>
          <w:bottom w:w="0" w:type="dxa"/>
          <w:right w:w="108" w:type="dxa"/>
        </w:tblCellMar>
      </w:tblPr>
      <w:tblGrid>
        <w:gridCol w:w="2268"/>
        <w:gridCol w:w="6995"/>
      </w:tblGrid>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CellMar>
            <w:top w:w="0" w:type="dxa"/>
            <w:left w:w="108" w:type="dxa"/>
            <w:bottom w:w="0" w:type="dxa"/>
            <w:right w:w="108" w:type="dxa"/>
          </w:tblCellMar>
        </w:tblPrEx>
        <w:trPr>
          <w:cantSplit/>
          <w:trHeight w:val="687" w:hRule="atLeast"/>
        </w:trPr>
        <w:tc>
          <w:tcPr>
            <w:tcW w:w="2268" w:type="dxa"/>
            <w:tcBorders>
              <w:top w:val="single" w:color="auto" w:sz="2" w:space="0"/>
              <w:left w:val="threeDEngrave" w:color="auto" w:sz="6" w:space="0"/>
              <w:bottom w:val="single" w:color="auto" w:sz="2" w:space="0"/>
              <w:right w:val="single" w:color="auto" w:sz="2" w:space="0"/>
            </w:tcBorders>
            <w:shd w:val="clear" w:color="auto" w:fill="F3F3F3"/>
            <w:vAlign w:val="center"/>
          </w:tcPr>
          <w:p>
            <w:pPr>
              <w:pStyle w:val="38"/>
              <w:spacing w:line="360" w:lineRule="auto"/>
              <w:rPr>
                <w:rFonts w:ascii="宋体" w:hAnsi="宋体" w:cs="宋体"/>
                <w:szCs w:val="24"/>
              </w:rPr>
            </w:pPr>
            <w:r>
              <w:rPr>
                <w:rFonts w:hint="eastAsia" w:ascii="宋体" w:hAnsi="宋体" w:cs="宋体"/>
                <w:snapToGrid/>
                <w:spacing w:val="0"/>
                <w:kern w:val="2"/>
                <w:szCs w:val="24"/>
              </w:rPr>
              <w:t>报价分项</w:t>
            </w:r>
          </w:p>
        </w:tc>
        <w:tc>
          <w:tcPr>
            <w:tcW w:w="6995" w:type="dxa"/>
            <w:tcBorders>
              <w:top w:val="single" w:color="auto" w:sz="2" w:space="0"/>
              <w:left w:val="single" w:color="auto" w:sz="2" w:space="0"/>
              <w:bottom w:val="single" w:color="auto" w:sz="2" w:space="0"/>
              <w:right w:val="threeDEngrave" w:color="auto" w:sz="6" w:space="0"/>
            </w:tcBorders>
            <w:shd w:val="clear" w:color="auto" w:fill="F3F3F3"/>
            <w:vAlign w:val="center"/>
          </w:tcPr>
          <w:p>
            <w:pPr>
              <w:pStyle w:val="38"/>
              <w:spacing w:line="360" w:lineRule="auto"/>
              <w:rPr>
                <w:rFonts w:ascii="宋体" w:hAnsi="宋体" w:cs="宋体"/>
                <w:szCs w:val="24"/>
              </w:rPr>
            </w:pPr>
            <w:r>
              <w:rPr>
                <w:rFonts w:hint="eastAsia" w:ascii="宋体" w:hAnsi="宋体" w:cs="宋体"/>
                <w:snapToGrid/>
                <w:spacing w:val="0"/>
                <w:kern w:val="2"/>
                <w:szCs w:val="24"/>
              </w:rPr>
              <w:t>合计（元）</w:t>
            </w:r>
          </w:p>
        </w:tc>
      </w:tr>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CellMar>
            <w:top w:w="0" w:type="dxa"/>
            <w:left w:w="108" w:type="dxa"/>
            <w:bottom w:w="0" w:type="dxa"/>
            <w:right w:w="108" w:type="dxa"/>
          </w:tblCellMar>
        </w:tblPrEx>
        <w:trPr>
          <w:cantSplit/>
          <w:trHeight w:val="687" w:hRule="atLeast"/>
        </w:trPr>
        <w:tc>
          <w:tcPr>
            <w:tcW w:w="2268" w:type="dxa"/>
            <w:vMerge w:val="restart"/>
            <w:tcBorders>
              <w:top w:val="single" w:color="auto" w:sz="2" w:space="0"/>
              <w:left w:val="threeDEngrave" w:color="auto" w:sz="6" w:space="0"/>
              <w:right w:val="single" w:color="auto" w:sz="2" w:space="0"/>
            </w:tcBorders>
            <w:vAlign w:val="center"/>
          </w:tcPr>
          <w:p>
            <w:pPr>
              <w:pStyle w:val="38"/>
              <w:keepNext w:val="0"/>
              <w:adjustRightInd/>
              <w:spacing w:line="360" w:lineRule="auto"/>
              <w:jc w:val="both"/>
              <w:textAlignment w:val="auto"/>
              <w:rPr>
                <w:rFonts w:ascii="宋体" w:hAnsi="宋体" w:cs="宋体"/>
                <w:snapToGrid/>
                <w:spacing w:val="0"/>
                <w:kern w:val="2"/>
                <w:szCs w:val="24"/>
              </w:rPr>
            </w:pPr>
            <w:r>
              <w:rPr>
                <w:rFonts w:hint="eastAsia" w:ascii="宋体" w:hAnsi="宋体" w:cs="宋体"/>
                <w:snapToGrid/>
                <w:spacing w:val="0"/>
                <w:kern w:val="2"/>
                <w:szCs w:val="24"/>
              </w:rPr>
              <w:t xml:space="preserve">    报价合计</w:t>
            </w:r>
          </w:p>
        </w:tc>
        <w:tc>
          <w:tcPr>
            <w:tcW w:w="6995" w:type="dxa"/>
            <w:tcBorders>
              <w:top w:val="single" w:color="auto" w:sz="2" w:space="0"/>
              <w:left w:val="single" w:color="auto" w:sz="2" w:space="0"/>
              <w:bottom w:val="single" w:color="auto" w:sz="2" w:space="0"/>
              <w:right w:val="threeDEngrave" w:color="auto" w:sz="6" w:space="0"/>
            </w:tcBorders>
            <w:vAlign w:val="center"/>
          </w:tcPr>
          <w:p>
            <w:pPr>
              <w:spacing w:line="360" w:lineRule="auto"/>
              <w:rPr>
                <w:rFonts w:ascii="宋体" w:hAnsi="宋体" w:cs="宋体"/>
                <w:sz w:val="24"/>
              </w:rPr>
            </w:pPr>
            <w:r>
              <w:rPr>
                <w:rFonts w:hint="eastAsia" w:ascii="宋体" w:hAnsi="宋体" w:cs="宋体"/>
                <w:sz w:val="24"/>
              </w:rPr>
              <w:t xml:space="preserve"> 小写：</w:t>
            </w:r>
            <w:r>
              <w:rPr>
                <w:rFonts w:hint="eastAsia" w:ascii="宋体" w:hAnsi="宋体" w:eastAsia="宋体" w:cs="宋体"/>
                <w:sz w:val="24"/>
              </w:rPr>
              <w:t>￥</w:t>
            </w:r>
            <w:r>
              <w:rPr>
                <w:rFonts w:hint="eastAsia" w:ascii="宋体" w:hAnsi="宋体" w:cs="宋体"/>
                <w:sz w:val="24"/>
                <w:u w:val="single"/>
              </w:rPr>
              <w:t xml:space="preserve">                  </w:t>
            </w:r>
            <w:r>
              <w:rPr>
                <w:rFonts w:hint="eastAsia" w:ascii="宋体" w:hAnsi="宋体" w:cs="宋体"/>
                <w:sz w:val="24"/>
              </w:rPr>
              <w:t>元</w:t>
            </w:r>
          </w:p>
        </w:tc>
      </w:tr>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CellMar>
            <w:top w:w="0" w:type="dxa"/>
            <w:left w:w="108" w:type="dxa"/>
            <w:bottom w:w="0" w:type="dxa"/>
            <w:right w:w="108" w:type="dxa"/>
          </w:tblCellMar>
        </w:tblPrEx>
        <w:trPr>
          <w:cantSplit/>
          <w:trHeight w:val="687" w:hRule="atLeast"/>
        </w:trPr>
        <w:tc>
          <w:tcPr>
            <w:tcW w:w="2268" w:type="dxa"/>
            <w:vMerge w:val="continue"/>
            <w:tcBorders>
              <w:left w:val="threeDEngrave" w:color="auto" w:sz="6" w:space="0"/>
              <w:bottom w:val="single" w:color="auto" w:sz="2" w:space="0"/>
              <w:right w:val="single" w:color="auto" w:sz="2" w:space="0"/>
            </w:tcBorders>
            <w:vAlign w:val="center"/>
          </w:tcPr>
          <w:p>
            <w:pPr>
              <w:pStyle w:val="38"/>
              <w:keepNext w:val="0"/>
              <w:adjustRightInd/>
              <w:spacing w:line="360" w:lineRule="auto"/>
              <w:textAlignment w:val="auto"/>
              <w:rPr>
                <w:rFonts w:ascii="宋体" w:hAnsi="宋体" w:cs="宋体"/>
                <w:snapToGrid/>
                <w:spacing w:val="0"/>
                <w:kern w:val="2"/>
                <w:szCs w:val="24"/>
              </w:rPr>
            </w:pPr>
          </w:p>
        </w:tc>
        <w:tc>
          <w:tcPr>
            <w:tcW w:w="6995" w:type="dxa"/>
            <w:tcBorders>
              <w:top w:val="single" w:color="auto" w:sz="2" w:space="0"/>
              <w:left w:val="single" w:color="auto" w:sz="2" w:space="0"/>
              <w:bottom w:val="single" w:color="auto" w:sz="2" w:space="0"/>
              <w:right w:val="threeDEngrave" w:color="auto" w:sz="6" w:space="0"/>
            </w:tcBorders>
            <w:vAlign w:val="center"/>
          </w:tcPr>
          <w:p>
            <w:pPr>
              <w:spacing w:line="360" w:lineRule="auto"/>
              <w:rPr>
                <w:rFonts w:ascii="宋体" w:hAnsi="宋体" w:cs="宋体"/>
                <w:sz w:val="24"/>
              </w:rPr>
            </w:pPr>
            <w:r>
              <w:rPr>
                <w:rFonts w:hint="eastAsia" w:ascii="宋体" w:hAnsi="宋体" w:cs="宋体"/>
                <w:sz w:val="24"/>
              </w:rPr>
              <w:t xml:space="preserve"> 大写：人民币</w:t>
            </w:r>
            <w:r>
              <w:rPr>
                <w:rFonts w:hint="eastAsia" w:ascii="宋体" w:hAnsi="宋体" w:cs="宋体"/>
                <w:sz w:val="24"/>
                <w:u w:val="single"/>
              </w:rPr>
              <w:t xml:space="preserve">                          </w:t>
            </w:r>
            <w:r>
              <w:rPr>
                <w:rFonts w:hint="eastAsia" w:ascii="宋体" w:hAnsi="宋体" w:cs="宋体"/>
                <w:sz w:val="24"/>
              </w:rPr>
              <w:t>元</w:t>
            </w:r>
          </w:p>
        </w:tc>
      </w:tr>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CellMar>
            <w:top w:w="0" w:type="dxa"/>
            <w:left w:w="108" w:type="dxa"/>
            <w:bottom w:w="0" w:type="dxa"/>
            <w:right w:w="108" w:type="dxa"/>
          </w:tblCellMar>
        </w:tblPrEx>
        <w:trPr>
          <w:cantSplit/>
          <w:trHeight w:val="1396" w:hRule="atLeast"/>
        </w:trPr>
        <w:tc>
          <w:tcPr>
            <w:tcW w:w="9263" w:type="dxa"/>
            <w:gridSpan w:val="2"/>
            <w:tcBorders>
              <w:top w:val="single" w:color="auto" w:sz="2" w:space="0"/>
              <w:left w:val="threeDEngrave" w:color="auto" w:sz="6" w:space="0"/>
              <w:bottom w:val="threeDEngrave" w:color="auto" w:sz="6" w:space="0"/>
              <w:right w:val="threeDEngrave" w:color="auto" w:sz="6" w:space="0"/>
            </w:tcBorders>
            <w:vAlign w:val="center"/>
          </w:tcPr>
          <w:p>
            <w:pPr>
              <w:spacing w:line="360" w:lineRule="auto"/>
              <w:rPr>
                <w:rFonts w:ascii="宋体" w:hAnsi="宋体" w:cs="宋体"/>
                <w:sz w:val="24"/>
              </w:rPr>
            </w:pPr>
            <w:r>
              <w:rPr>
                <w:rFonts w:hint="eastAsia" w:ascii="宋体" w:hAnsi="宋体" w:cs="宋体"/>
                <w:sz w:val="24"/>
              </w:rPr>
              <w:t>备注：报价不得超过项目采购预算</w:t>
            </w:r>
            <w:r>
              <w:rPr>
                <w:rFonts w:hint="eastAsia" w:ascii="宋体" w:hAnsi="宋体" w:cs="宋体"/>
                <w:sz w:val="24"/>
                <w:lang w:eastAsia="zh-CN"/>
              </w:rPr>
              <w:t>金额</w:t>
            </w:r>
            <w:r>
              <w:rPr>
                <w:rFonts w:hint="eastAsia" w:ascii="宋体" w:hAnsi="宋体" w:cs="宋体"/>
                <w:sz w:val="24"/>
              </w:rPr>
              <w:t>，否则视为无效投标。</w:t>
            </w:r>
          </w:p>
        </w:tc>
      </w:tr>
    </w:tbl>
    <w:p>
      <w:pPr>
        <w:spacing w:line="360" w:lineRule="auto"/>
        <w:jc w:val="left"/>
      </w:pPr>
    </w:p>
    <w:p>
      <w:pPr>
        <w:rPr>
          <w:rFonts w:ascii="宋体" w:hAnsi="宋体" w:cs="宋体"/>
        </w:rPr>
      </w:pPr>
      <w:r>
        <w:rPr>
          <w:rFonts w:hint="eastAsia" w:ascii="宋体" w:hAnsi="宋体" w:cs="宋体"/>
        </w:rPr>
        <w:t>填表要求：</w:t>
      </w:r>
    </w:p>
    <w:p>
      <w:pPr>
        <w:ind w:firstLine="420" w:firstLineChars="200"/>
        <w:rPr>
          <w:rFonts w:ascii="宋体" w:hAnsi="宋体" w:cs="宋体"/>
        </w:rPr>
      </w:pPr>
      <w:r>
        <w:rPr>
          <w:rFonts w:hint="eastAsia" w:ascii="宋体" w:hAnsi="宋体" w:cs="宋体"/>
        </w:rPr>
        <w:t>1、总价应为各分项报价之和，响应文件差异修正准则参见响应文件说明。</w:t>
      </w:r>
    </w:p>
    <w:p>
      <w:pPr>
        <w:ind w:left="735" w:leftChars="200" w:hanging="315" w:hangingChars="150"/>
        <w:rPr>
          <w:rFonts w:ascii="宋体" w:hAnsi="宋体" w:cs="宋体"/>
        </w:rPr>
      </w:pPr>
      <w:r>
        <w:rPr>
          <w:rFonts w:hint="eastAsia" w:ascii="宋体" w:hAnsi="宋体" w:cs="宋体"/>
        </w:rPr>
        <w:t>2、报价表述限于选用中文大写或阿拉伯数字小写，均已核定准确无误。</w:t>
      </w:r>
    </w:p>
    <w:p>
      <w:pPr>
        <w:ind w:left="735" w:leftChars="200" w:hanging="315" w:hangingChars="150"/>
        <w:rPr>
          <w:rFonts w:ascii="宋体" w:hAnsi="宋体" w:cs="宋体"/>
        </w:rPr>
      </w:pPr>
      <w:r>
        <w:rPr>
          <w:rFonts w:hint="eastAsia" w:ascii="宋体" w:hAnsi="宋体" w:cs="宋体"/>
        </w:rPr>
        <w:t>3、本表除在响应文件中提供外，还须另附一份至《报价信封》内，并与响应文件一同递交。</w:t>
      </w:r>
    </w:p>
    <w:p>
      <w:pPr>
        <w:spacing w:line="360" w:lineRule="auto"/>
        <w:rPr>
          <w:rFonts w:ascii="宋体" w:hAnsi="宋体" w:cs="宋体"/>
          <w:b/>
        </w:rPr>
      </w:pPr>
    </w:p>
    <w:p>
      <w:pPr>
        <w:spacing w:line="360" w:lineRule="auto"/>
        <w:rPr>
          <w:b/>
        </w:rPr>
      </w:pPr>
    </w:p>
    <w:p>
      <w:pPr>
        <w:spacing w:line="480" w:lineRule="auto"/>
        <w:rPr>
          <w:b/>
        </w:rPr>
      </w:pPr>
    </w:p>
    <w:p>
      <w:pPr>
        <w:spacing w:line="480" w:lineRule="auto"/>
        <w:rPr>
          <w:b/>
        </w:rPr>
      </w:pPr>
      <w:r>
        <w:rPr>
          <w:rFonts w:hint="eastAsia"/>
          <w:b/>
        </w:rPr>
        <w:t>供应商名称：</w:t>
      </w:r>
      <w:r>
        <w:rPr>
          <w:rFonts w:hint="eastAsia"/>
          <w:b/>
          <w:u w:val="single"/>
        </w:rPr>
        <w:t xml:space="preserve">      （全称）             </w:t>
      </w:r>
      <w:r>
        <w:rPr>
          <w:rFonts w:hint="eastAsia"/>
          <w:b/>
        </w:rPr>
        <w:t xml:space="preserve"> （加盖供应商公章）</w:t>
      </w:r>
    </w:p>
    <w:p>
      <w:pPr>
        <w:spacing w:line="360" w:lineRule="auto"/>
        <w:rPr>
          <w:b/>
        </w:rPr>
      </w:pPr>
      <w:r>
        <w:rPr>
          <w:rFonts w:hint="eastAsia"/>
          <w:b/>
        </w:rPr>
        <w:t>授权代表：</w:t>
      </w:r>
      <w:r>
        <w:rPr>
          <w:rFonts w:hint="eastAsia"/>
          <w:b/>
          <w:u w:val="single"/>
        </w:rPr>
        <w:t xml:space="preserve">（亲笔签名） </w:t>
      </w:r>
      <w:r>
        <w:rPr>
          <w:rFonts w:hint="eastAsia"/>
          <w:b/>
        </w:rPr>
        <w:t xml:space="preserve">    </w:t>
      </w:r>
    </w:p>
    <w:p>
      <w:pPr>
        <w:spacing w:line="360" w:lineRule="auto"/>
        <w:jc w:val="left"/>
        <w:rPr>
          <w:b/>
        </w:rPr>
        <w:sectPr>
          <w:pgSz w:w="11906" w:h="16838"/>
          <w:pgMar w:top="1134" w:right="1134" w:bottom="1134" w:left="1587" w:header="567" w:footer="737" w:gutter="0"/>
          <w:pgNumType w:fmt="decimal"/>
          <w:cols w:space="720" w:num="1"/>
          <w:docGrid w:type="lines" w:linePitch="312" w:charSpace="0"/>
        </w:sectPr>
      </w:pPr>
      <w:r>
        <w:rPr>
          <w:rFonts w:hint="eastAsia"/>
          <w:b/>
        </w:rPr>
        <w:t>日期：</w:t>
      </w:r>
      <w:r>
        <w:rPr>
          <w:rFonts w:hint="eastAsia"/>
          <w:b/>
          <w:u w:val="single"/>
        </w:rPr>
        <w:t xml:space="preserve">    </w:t>
      </w:r>
      <w:r>
        <w:rPr>
          <w:rFonts w:hint="eastAsia"/>
          <w:b/>
        </w:rPr>
        <w:t>年</w:t>
      </w:r>
      <w:r>
        <w:rPr>
          <w:rFonts w:hint="eastAsia"/>
          <w:b/>
          <w:u w:val="single"/>
        </w:rPr>
        <w:t xml:space="preserve">    </w:t>
      </w:r>
      <w:r>
        <w:rPr>
          <w:rFonts w:hint="eastAsia"/>
          <w:b/>
        </w:rPr>
        <w:t>月</w:t>
      </w:r>
      <w:r>
        <w:rPr>
          <w:rFonts w:hint="eastAsia"/>
          <w:b/>
          <w:u w:val="single"/>
        </w:rPr>
        <w:t xml:space="preserve">    </w:t>
      </w:r>
      <w:r>
        <w:rPr>
          <w:rFonts w:hint="eastAsia"/>
          <w:b/>
        </w:rPr>
        <w:t>日</w:t>
      </w:r>
      <w:bookmarkEnd w:id="1287"/>
      <w:bookmarkEnd w:id="1288"/>
      <w:bookmarkEnd w:id="1289"/>
      <w:bookmarkEnd w:id="1290"/>
      <w:bookmarkEnd w:id="1291"/>
    </w:p>
    <w:p>
      <w:pPr>
        <w:snapToGrid w:val="0"/>
        <w:spacing w:line="480" w:lineRule="auto"/>
        <w:jc w:val="center"/>
        <w:outlineLvl w:val="2"/>
        <w:rPr>
          <w:b/>
          <w:kern w:val="0"/>
          <w:sz w:val="36"/>
          <w:szCs w:val="36"/>
        </w:rPr>
      </w:pPr>
      <w:bookmarkStart w:id="1482" w:name="_技术条款响应表"/>
      <w:bookmarkEnd w:id="1482"/>
      <w:bookmarkStart w:id="1483" w:name="_附__件__目__录"/>
      <w:bookmarkEnd w:id="1483"/>
      <w:bookmarkStart w:id="1484" w:name="_附__件"/>
      <w:bookmarkEnd w:id="1484"/>
      <w:bookmarkStart w:id="1485" w:name="_详细配置及工程服务量报价清单"/>
      <w:bookmarkEnd w:id="1485"/>
      <w:bookmarkStart w:id="1486" w:name="_报价清单明细表"/>
      <w:bookmarkEnd w:id="1486"/>
      <w:bookmarkStart w:id="1487" w:name="_保证金退付书"/>
      <w:bookmarkEnd w:id="1487"/>
      <w:bookmarkStart w:id="1488" w:name="_Toc9669"/>
      <w:bookmarkStart w:id="1489" w:name="_Toc661"/>
      <w:bookmarkStart w:id="1490" w:name="_Toc24372"/>
      <w:bookmarkStart w:id="1491" w:name="_Toc4869"/>
      <w:bookmarkStart w:id="1492" w:name="_Toc23092"/>
      <w:bookmarkStart w:id="1493" w:name="_Toc29373"/>
      <w:bookmarkStart w:id="1494" w:name="_Toc12190"/>
      <w:bookmarkStart w:id="1495" w:name="_Toc744"/>
      <w:bookmarkStart w:id="1496" w:name="_Toc1000"/>
      <w:bookmarkStart w:id="1497" w:name="_Toc13659"/>
      <w:bookmarkStart w:id="1498" w:name="_Toc259803673"/>
      <w:bookmarkStart w:id="1499" w:name="_Toc419106583"/>
      <w:bookmarkStart w:id="1500" w:name="_Toc126"/>
      <w:bookmarkStart w:id="1501" w:name="_Toc419106585"/>
      <w:bookmarkStart w:id="1502" w:name="_Toc37670374"/>
      <w:bookmarkStart w:id="1503" w:name="_Toc373767222"/>
      <w:bookmarkStart w:id="1504" w:name="_Toc325031962"/>
      <w:bookmarkStart w:id="1505" w:name="_Toc310519907"/>
      <w:bookmarkStart w:id="1506" w:name="_Toc10384"/>
      <w:bookmarkStart w:id="1507" w:name="_Toc49329275"/>
      <w:r>
        <w:rPr>
          <w:rFonts w:hint="eastAsia"/>
          <w:b/>
          <w:kern w:val="0"/>
          <w:sz w:val="36"/>
          <w:szCs w:val="36"/>
        </w:rPr>
        <w:t>5.2报价清单明细表</w:t>
      </w:r>
      <w:bookmarkEnd w:id="1488"/>
      <w:bookmarkEnd w:id="1489"/>
      <w:bookmarkEnd w:id="1490"/>
      <w:bookmarkEnd w:id="1491"/>
      <w:bookmarkEnd w:id="1492"/>
      <w:bookmarkEnd w:id="1493"/>
      <w:bookmarkEnd w:id="1494"/>
      <w:bookmarkEnd w:id="1495"/>
      <w:bookmarkEnd w:id="1496"/>
      <w:bookmarkEnd w:id="1497"/>
    </w:p>
    <w:p>
      <w:pPr>
        <w:spacing w:line="360" w:lineRule="auto"/>
        <w:ind w:firstLine="482"/>
        <w:rPr>
          <w:rFonts w:hint="eastAsia" w:ascii="宋体" w:hAnsi="宋体"/>
          <w:color w:val="auto"/>
          <w:sz w:val="24"/>
          <w:szCs w:val="24"/>
          <w:highlight w:val="none"/>
        </w:rPr>
      </w:pPr>
      <w:r>
        <w:rPr>
          <w:rFonts w:hint="eastAsia" w:ascii="宋体" w:hAnsi="宋体"/>
          <w:color w:val="auto"/>
          <w:sz w:val="24"/>
          <w:szCs w:val="24"/>
          <w:highlight w:val="none"/>
          <w:lang w:val="en-US" w:eastAsia="zh-CN"/>
        </w:rPr>
        <w:t>注：</w:t>
      </w:r>
    </w:p>
    <w:p>
      <w:pPr>
        <w:spacing w:line="360" w:lineRule="auto"/>
        <w:ind w:firstLine="482"/>
        <w:rPr>
          <w:rFonts w:hint="eastAsia" w:ascii="宋体" w:hAnsi="宋体"/>
          <w:color w:val="auto"/>
          <w:sz w:val="24"/>
          <w:szCs w:val="24"/>
          <w:highlight w:val="none"/>
        </w:rPr>
      </w:pPr>
      <w:r>
        <w:rPr>
          <w:rFonts w:hint="eastAsia" w:ascii="宋体" w:hAnsi="宋体"/>
          <w:color w:val="auto"/>
          <w:sz w:val="24"/>
          <w:szCs w:val="24"/>
          <w:highlight w:val="none"/>
          <w:lang w:val="en-US" w:eastAsia="zh-CN"/>
        </w:rPr>
        <w:t xml:space="preserve">1、具体内容及所需的表格，以釆购文件的“附件 1 工程量清单”为准。在实质内容无缺失的情况下，供应商可根据实际需要增加有关表格。 </w:t>
      </w:r>
    </w:p>
    <w:p>
      <w:pPr>
        <w:spacing w:line="360" w:lineRule="auto"/>
        <w:ind w:firstLine="482"/>
        <w:rPr>
          <w:rFonts w:hint="eastAsia" w:ascii="宋体" w:hAnsi="宋体" w:eastAsia="宋体" w:cs="Times New Roman"/>
          <w:color w:val="auto"/>
          <w:sz w:val="24"/>
          <w:szCs w:val="24"/>
          <w:highlight w:val="none"/>
          <w:lang w:val="en-US" w:eastAsia="zh-CN"/>
        </w:rPr>
      </w:pPr>
      <w:r>
        <w:rPr>
          <w:rFonts w:hint="eastAsia" w:ascii="宋体" w:hAnsi="宋体"/>
          <w:color w:val="auto"/>
          <w:sz w:val="24"/>
          <w:szCs w:val="24"/>
          <w:highlight w:val="none"/>
          <w:lang w:val="en-US" w:eastAsia="zh-CN"/>
        </w:rPr>
        <w:t>2、因计价软件版本不同引起的响应文件格式与磋商文件不一致的（但实质内容无缺</w:t>
      </w:r>
      <w:r>
        <w:rPr>
          <w:rFonts w:hint="eastAsia" w:ascii="宋体" w:hAnsi="宋体" w:eastAsia="宋体" w:cs="Times New Roman"/>
          <w:color w:val="auto"/>
          <w:sz w:val="24"/>
          <w:szCs w:val="24"/>
          <w:highlight w:val="none"/>
          <w:lang w:val="en-US" w:eastAsia="zh-CN"/>
        </w:rPr>
        <w:t xml:space="preserve">失），不构成无效响应文件因素。 </w:t>
      </w:r>
    </w:p>
    <w:p>
      <w:pPr>
        <w:spacing w:line="360" w:lineRule="auto"/>
        <w:ind w:firstLine="482"/>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 xml:space="preserve">3、编制说明是指供应商根据自身情况在编制报价时需要说明的有关事项。可参考釆购人提供的“工程量清单"中的编制说明。 </w:t>
      </w:r>
    </w:p>
    <w:p>
      <w:pPr>
        <w:spacing w:line="360" w:lineRule="auto"/>
        <w:ind w:right="-359" w:rightChars="-171" w:firstLine="422" w:firstLineChars="200"/>
        <w:rPr>
          <w:rFonts w:ascii="宋体" w:hAnsi="宋体" w:cs="宋体"/>
          <w:b/>
          <w:szCs w:val="21"/>
          <w:u w:val="single"/>
        </w:rPr>
      </w:pPr>
    </w:p>
    <w:p>
      <w:pPr>
        <w:spacing w:line="360" w:lineRule="auto"/>
        <w:ind w:left="470" w:hanging="470" w:hangingChars="196"/>
        <w:jc w:val="center"/>
        <w:rPr>
          <w:rFonts w:ascii="宋体" w:hAnsi="宋体" w:cs="宋体"/>
          <w:sz w:val="24"/>
          <w:lang w:val="zh-CN"/>
        </w:rPr>
      </w:pPr>
      <w:bookmarkStart w:id="1508" w:name="_Toc332900955"/>
      <w:bookmarkStart w:id="1509" w:name="_Toc334432602"/>
      <w:bookmarkStart w:id="1510" w:name="_Toc334280827"/>
    </w:p>
    <w:bookmarkEnd w:id="1508"/>
    <w:bookmarkEnd w:id="1509"/>
    <w:bookmarkEnd w:id="1510"/>
    <w:p>
      <w:pPr>
        <w:pStyle w:val="3"/>
        <w:pageBreakBefore/>
        <w:jc w:val="center"/>
        <w:rPr>
          <w:bCs/>
          <w:color w:val="auto"/>
          <w:sz w:val="52"/>
        </w:rPr>
      </w:pPr>
      <w:bookmarkStart w:id="1511" w:name="_Toc16509"/>
      <w:r>
        <w:rPr>
          <w:rFonts w:hint="eastAsia"/>
          <w:bCs/>
          <w:color w:val="auto"/>
          <w:sz w:val="52"/>
        </w:rPr>
        <w:t>第六章  其他文件</w:t>
      </w:r>
      <w:bookmarkEnd w:id="1498"/>
      <w:bookmarkEnd w:id="1499"/>
      <w:bookmarkEnd w:id="1500"/>
      <w:bookmarkEnd w:id="1511"/>
    </w:p>
    <w:p/>
    <w:p>
      <w:pPr>
        <w:spacing w:line="360" w:lineRule="auto"/>
        <w:jc w:val="both"/>
        <w:rPr>
          <w:rFonts w:hint="eastAsia" w:eastAsia="宋体"/>
          <w:sz w:val="28"/>
          <w:szCs w:val="28"/>
          <w:lang w:eastAsia="zh-CN"/>
        </w:rPr>
      </w:pPr>
      <w:r>
        <w:rPr>
          <w:rFonts w:hint="eastAsia" w:hAnsi="宋体"/>
          <w:b/>
          <w:sz w:val="28"/>
          <w:szCs w:val="28"/>
        </w:rPr>
        <w:t>供应商认为有必要提供的其它材料</w:t>
      </w:r>
      <w:r>
        <w:rPr>
          <w:rFonts w:hint="eastAsia" w:hAnsi="宋体"/>
          <w:b/>
          <w:sz w:val="28"/>
          <w:szCs w:val="28"/>
          <w:lang w:eastAsia="zh-CN"/>
        </w:rPr>
        <w:t>。</w:t>
      </w:r>
    </w:p>
    <w:p/>
    <w:p>
      <w:pPr>
        <w:tabs>
          <w:tab w:val="left" w:pos="2453"/>
        </w:tabs>
        <w:jc w:val="left"/>
        <w:sectPr>
          <w:headerReference r:id="rId17" w:type="default"/>
          <w:pgSz w:w="11906" w:h="16838"/>
          <w:pgMar w:top="1134" w:right="1134" w:bottom="1134" w:left="1588" w:header="567" w:footer="737" w:gutter="0"/>
          <w:pgNumType w:fmt="decimal"/>
          <w:cols w:space="720" w:num="1"/>
          <w:docGrid w:type="lines" w:linePitch="312" w:charSpace="0"/>
        </w:sectPr>
      </w:pPr>
      <w:r>
        <w:rPr>
          <w:rFonts w:hint="eastAsia"/>
        </w:rPr>
        <w:tab/>
      </w:r>
      <w:bookmarkEnd w:id="1501"/>
      <w:bookmarkEnd w:id="1502"/>
      <w:bookmarkEnd w:id="1503"/>
      <w:bookmarkEnd w:id="1504"/>
      <w:bookmarkEnd w:id="1505"/>
      <w:bookmarkEnd w:id="1506"/>
      <w:bookmarkEnd w:id="1507"/>
    </w:p>
    <w:p>
      <w:pPr>
        <w:pStyle w:val="4"/>
        <w:pageBreakBefore/>
        <w:spacing w:after="156"/>
        <w:ind w:left="-6"/>
        <w:rPr>
          <w:rFonts w:ascii="黑体" w:eastAsia="黑体"/>
          <w:b w:val="0"/>
          <w:bCs/>
          <w:color w:val="auto"/>
          <w:sz w:val="32"/>
          <w:szCs w:val="18"/>
        </w:rPr>
      </w:pPr>
      <w:bookmarkStart w:id="1512" w:name="_Toc20069"/>
      <w:bookmarkStart w:id="1513" w:name="_Toc28892"/>
      <w:bookmarkStart w:id="1514" w:name="_Toc325031963"/>
      <w:bookmarkStart w:id="1515" w:name="_Toc373767223"/>
      <w:bookmarkStart w:id="1516" w:name="_Toc17168"/>
      <w:bookmarkStart w:id="1517" w:name="_Toc29125"/>
      <w:bookmarkStart w:id="1518" w:name="_Toc528851753"/>
      <w:bookmarkStart w:id="1519" w:name="_Toc17985688"/>
      <w:bookmarkStart w:id="1520" w:name="_Toc310519908"/>
      <w:bookmarkStart w:id="1521" w:name="_Toc15336"/>
      <w:bookmarkStart w:id="1522" w:name="_Toc30654"/>
      <w:bookmarkStart w:id="1523" w:name="_Toc5483"/>
      <w:bookmarkStart w:id="1524" w:name="_Toc419106586"/>
      <w:bookmarkStart w:id="1525" w:name="_Toc10234"/>
      <w:bookmarkStart w:id="1526" w:name="_Toc7139"/>
      <w:bookmarkStart w:id="1527" w:name="_Toc8897"/>
      <w:bookmarkStart w:id="1528" w:name="_Toc28482"/>
      <w:bookmarkStart w:id="1529" w:name="_Toc31321"/>
      <w:bookmarkStart w:id="1530" w:name="_Toc30054"/>
      <w:bookmarkStart w:id="1531" w:name="_Toc325031964"/>
      <w:bookmarkStart w:id="1532" w:name="_Toc38337722"/>
      <w:bookmarkStart w:id="1533" w:name="_Toc373767224"/>
      <w:bookmarkStart w:id="1534" w:name="_Toc49329276"/>
      <w:bookmarkStart w:id="1535" w:name="_Toc22927"/>
      <w:bookmarkStart w:id="1536" w:name="_Toc310519909"/>
      <w:bookmarkStart w:id="1537" w:name="_Toc419106587"/>
      <w:bookmarkStart w:id="1538" w:name="_Toc11015"/>
      <w:r>
        <w:rPr>
          <w:rFonts w:hint="eastAsia" w:ascii="黑体" w:eastAsia="黑体"/>
          <w:b w:val="0"/>
          <w:bCs/>
          <w:color w:val="auto"/>
          <w:sz w:val="32"/>
          <w:szCs w:val="18"/>
        </w:rPr>
        <w:t>附件一：放弃响应说明书</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spacing w:line="360" w:lineRule="auto"/>
        <w:rPr>
          <w:sz w:val="24"/>
        </w:rPr>
      </w:pPr>
    </w:p>
    <w:p>
      <w:pPr>
        <w:spacing w:line="360" w:lineRule="auto"/>
        <w:rPr>
          <w:sz w:val="24"/>
        </w:rPr>
      </w:pPr>
    </w:p>
    <w:p>
      <w:pPr>
        <w:spacing w:line="360" w:lineRule="auto"/>
        <w:rPr>
          <w:rFonts w:ascii="黑体" w:eastAsia="黑体"/>
          <w:sz w:val="28"/>
          <w:szCs w:val="28"/>
        </w:rPr>
      </w:pPr>
      <w:r>
        <w:rPr>
          <w:rFonts w:hint="eastAsia" w:ascii="黑体"/>
          <w:sz w:val="28"/>
          <w:szCs w:val="28"/>
        </w:rPr>
        <w:t>佛山市公安局/广东远东招标代理有限公司</w:t>
      </w:r>
      <w:r>
        <w:rPr>
          <w:rFonts w:hint="eastAsia" w:ascii="黑体" w:eastAsia="黑体"/>
          <w:sz w:val="28"/>
          <w:szCs w:val="28"/>
        </w:rPr>
        <w:t>：</w:t>
      </w:r>
    </w:p>
    <w:p>
      <w:pPr>
        <w:spacing w:line="360" w:lineRule="auto"/>
        <w:ind w:firstLine="480"/>
        <w:rPr>
          <w:rFonts w:ascii="宋体" w:hAnsi="宋体"/>
          <w:sz w:val="24"/>
        </w:rPr>
      </w:pPr>
    </w:p>
    <w:p>
      <w:pPr>
        <w:spacing w:line="360" w:lineRule="auto"/>
        <w:ind w:firstLine="480"/>
        <w:rPr>
          <w:rFonts w:ascii="宋体" w:hAnsi="宋体"/>
          <w:sz w:val="24"/>
        </w:rPr>
      </w:pPr>
      <w:r>
        <w:rPr>
          <w:rFonts w:hint="eastAsia" w:ascii="宋体" w:hAnsi="宋体"/>
          <w:sz w:val="24"/>
        </w:rPr>
        <w:t>我方由于以下原因，经研究后决定放弃本项目的响应。</w:t>
      </w:r>
    </w:p>
    <w:tbl>
      <w:tblPr>
        <w:tblStyle w:val="24"/>
        <w:tblW w:w="8717" w:type="dxa"/>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1236"/>
        <w:gridCol w:w="4335"/>
        <w:gridCol w:w="1110"/>
        <w:gridCol w:w="2036"/>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07" w:hRule="atLeast"/>
        </w:trPr>
        <w:tc>
          <w:tcPr>
            <w:tcW w:w="1236" w:type="dxa"/>
            <w:shd w:val="clear" w:color="auto" w:fill="99CCFF"/>
            <w:vAlign w:val="center"/>
          </w:tcPr>
          <w:p>
            <w:pPr>
              <w:jc w:val="center"/>
              <w:rPr>
                <w:rFonts w:hint="eastAsia" w:ascii="宋体" w:hAnsi="宋体" w:eastAsia="宋体" w:cs="宋体"/>
                <w:b/>
              </w:rPr>
            </w:pPr>
            <w:r>
              <w:rPr>
                <w:rFonts w:hint="eastAsia" w:ascii="宋体" w:hAnsi="宋体" w:eastAsia="宋体" w:cs="宋体"/>
                <w:b/>
              </w:rPr>
              <w:t>项目名称</w:t>
            </w:r>
          </w:p>
        </w:tc>
        <w:tc>
          <w:tcPr>
            <w:tcW w:w="4335" w:type="dxa"/>
            <w:shd w:val="clear" w:color="auto" w:fill="99CCFF"/>
            <w:vAlign w:val="center"/>
          </w:tcPr>
          <w:p>
            <w:pPr>
              <w:jc w:val="center"/>
              <w:rPr>
                <w:rFonts w:hint="eastAsia" w:ascii="宋体" w:hAnsi="宋体" w:eastAsia="宋体" w:cs="宋体"/>
                <w:b/>
                <w:lang w:eastAsia="zh-CN"/>
              </w:rPr>
            </w:pPr>
            <w:r>
              <w:rPr>
                <w:rFonts w:hint="eastAsia" w:ascii="宋体" w:hAnsi="宋体" w:cs="宋体"/>
                <w:b/>
                <w:lang w:eastAsia="zh-CN"/>
              </w:rPr>
              <w:t>佛山市公安局铺设电缆</w:t>
            </w:r>
          </w:p>
        </w:tc>
        <w:tc>
          <w:tcPr>
            <w:tcW w:w="1110" w:type="dxa"/>
            <w:shd w:val="clear" w:color="auto" w:fill="99CCFF"/>
            <w:vAlign w:val="center"/>
          </w:tcPr>
          <w:p>
            <w:pPr>
              <w:jc w:val="center"/>
              <w:rPr>
                <w:rFonts w:hint="eastAsia" w:ascii="宋体" w:hAnsi="宋体" w:eastAsia="宋体" w:cs="宋体"/>
                <w:b/>
              </w:rPr>
            </w:pPr>
            <w:r>
              <w:rPr>
                <w:rFonts w:hint="eastAsia" w:ascii="宋体" w:hAnsi="宋体" w:eastAsia="宋体" w:cs="宋体"/>
                <w:b/>
              </w:rPr>
              <w:t>项目编号</w:t>
            </w:r>
          </w:p>
        </w:tc>
        <w:tc>
          <w:tcPr>
            <w:tcW w:w="2036" w:type="dxa"/>
            <w:shd w:val="clear" w:color="auto" w:fill="99CCFF"/>
            <w:vAlign w:val="center"/>
          </w:tcPr>
          <w:p>
            <w:pPr>
              <w:jc w:val="center"/>
              <w:rPr>
                <w:rFonts w:hint="eastAsia" w:ascii="宋体" w:hAnsi="宋体" w:eastAsia="宋体" w:cs="宋体"/>
                <w:b/>
                <w:lang w:eastAsia="zh-CN"/>
              </w:rPr>
            </w:pPr>
            <w:r>
              <w:rPr>
                <w:rFonts w:hint="eastAsia" w:ascii="宋体" w:hAnsi="宋体" w:eastAsia="宋体" w:cs="宋体"/>
                <w:b/>
                <w:lang w:eastAsia="zh-CN"/>
              </w:rPr>
              <w:t>fsganb202404005</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59" w:hRule="atLeast"/>
        </w:trPr>
        <w:tc>
          <w:tcPr>
            <w:tcW w:w="1236" w:type="dxa"/>
            <w:shd w:val="clear" w:color="auto" w:fill="99CCFF"/>
            <w:vAlign w:val="center"/>
          </w:tcPr>
          <w:p>
            <w:pPr>
              <w:jc w:val="center"/>
              <w:rPr>
                <w:rFonts w:hint="eastAsia" w:ascii="宋体" w:hAnsi="宋体" w:eastAsia="宋体" w:cs="宋体"/>
                <w:b/>
              </w:rPr>
            </w:pPr>
            <w:r>
              <w:rPr>
                <w:rFonts w:hint="eastAsia" w:ascii="宋体" w:hAnsi="宋体" w:eastAsia="宋体" w:cs="宋体"/>
                <w:b/>
              </w:rPr>
              <w:t>序号</w:t>
            </w:r>
          </w:p>
        </w:tc>
        <w:tc>
          <w:tcPr>
            <w:tcW w:w="4335" w:type="dxa"/>
            <w:shd w:val="clear" w:color="auto" w:fill="99CCFF"/>
            <w:vAlign w:val="center"/>
          </w:tcPr>
          <w:p>
            <w:pPr>
              <w:jc w:val="center"/>
              <w:rPr>
                <w:rFonts w:hint="eastAsia" w:ascii="宋体" w:hAnsi="宋体" w:eastAsia="宋体" w:cs="宋体"/>
                <w:b/>
              </w:rPr>
            </w:pPr>
            <w:r>
              <w:rPr>
                <w:rFonts w:hint="eastAsia" w:ascii="宋体" w:hAnsi="宋体" w:eastAsia="宋体" w:cs="宋体"/>
                <w:b/>
              </w:rPr>
              <w:t>放弃响应原因</w:t>
            </w:r>
          </w:p>
        </w:tc>
        <w:tc>
          <w:tcPr>
            <w:tcW w:w="3146" w:type="dxa"/>
            <w:gridSpan w:val="2"/>
            <w:shd w:val="clear" w:color="auto" w:fill="99CCFF"/>
            <w:vAlign w:val="center"/>
          </w:tcPr>
          <w:p>
            <w:pPr>
              <w:jc w:val="center"/>
              <w:rPr>
                <w:rFonts w:hint="eastAsia" w:ascii="宋体" w:hAnsi="宋体" w:eastAsia="宋体" w:cs="宋体"/>
                <w:b/>
              </w:rPr>
            </w:pPr>
            <w:r>
              <w:rPr>
                <w:rFonts w:hint="eastAsia" w:ascii="宋体" w:hAnsi="宋体" w:eastAsia="宋体" w:cs="宋体"/>
                <w:b/>
              </w:rPr>
              <w:t>标书中条款编号及内容</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236" w:type="dxa"/>
            <w:vAlign w:val="center"/>
          </w:tcPr>
          <w:p>
            <w:pPr>
              <w:spacing w:line="360" w:lineRule="auto"/>
              <w:jc w:val="center"/>
              <w:rPr>
                <w:rFonts w:hint="eastAsia" w:ascii="宋体" w:hAnsi="宋体" w:eastAsia="宋体" w:cs="宋体"/>
                <w:sz w:val="24"/>
              </w:rPr>
            </w:pPr>
          </w:p>
        </w:tc>
        <w:tc>
          <w:tcPr>
            <w:tcW w:w="4335" w:type="dxa"/>
            <w:vAlign w:val="center"/>
          </w:tcPr>
          <w:p>
            <w:pPr>
              <w:spacing w:line="360" w:lineRule="auto"/>
              <w:jc w:val="center"/>
              <w:rPr>
                <w:rFonts w:hint="eastAsia" w:ascii="宋体" w:hAnsi="宋体" w:eastAsia="宋体" w:cs="宋体"/>
                <w:sz w:val="24"/>
              </w:rPr>
            </w:pPr>
          </w:p>
        </w:tc>
        <w:tc>
          <w:tcPr>
            <w:tcW w:w="3146" w:type="dxa"/>
            <w:gridSpan w:val="2"/>
            <w:vAlign w:val="center"/>
          </w:tcPr>
          <w:p>
            <w:pPr>
              <w:spacing w:line="360" w:lineRule="auto"/>
              <w:jc w:val="center"/>
              <w:rPr>
                <w:rFonts w:hint="eastAsia" w:ascii="宋体" w:hAnsi="宋体" w:eastAsia="宋体" w:cs="宋体"/>
                <w:sz w:val="24"/>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236" w:type="dxa"/>
            <w:vAlign w:val="center"/>
          </w:tcPr>
          <w:p>
            <w:pPr>
              <w:spacing w:line="360" w:lineRule="auto"/>
              <w:jc w:val="center"/>
              <w:rPr>
                <w:rFonts w:hint="eastAsia" w:ascii="宋体" w:hAnsi="宋体" w:eastAsia="宋体" w:cs="宋体"/>
                <w:sz w:val="24"/>
              </w:rPr>
            </w:pPr>
          </w:p>
        </w:tc>
        <w:tc>
          <w:tcPr>
            <w:tcW w:w="4335" w:type="dxa"/>
            <w:vAlign w:val="center"/>
          </w:tcPr>
          <w:p>
            <w:pPr>
              <w:spacing w:line="360" w:lineRule="auto"/>
              <w:jc w:val="center"/>
              <w:rPr>
                <w:rFonts w:hint="eastAsia" w:ascii="宋体" w:hAnsi="宋体" w:eastAsia="宋体" w:cs="宋体"/>
                <w:sz w:val="24"/>
              </w:rPr>
            </w:pPr>
          </w:p>
        </w:tc>
        <w:tc>
          <w:tcPr>
            <w:tcW w:w="3146" w:type="dxa"/>
            <w:gridSpan w:val="2"/>
            <w:vAlign w:val="center"/>
          </w:tcPr>
          <w:p>
            <w:pPr>
              <w:spacing w:line="360" w:lineRule="auto"/>
              <w:jc w:val="center"/>
              <w:rPr>
                <w:rFonts w:hint="eastAsia" w:ascii="宋体" w:hAnsi="宋体" w:eastAsia="宋体" w:cs="宋体"/>
                <w:sz w:val="24"/>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236" w:type="dxa"/>
            <w:vAlign w:val="center"/>
          </w:tcPr>
          <w:p>
            <w:pPr>
              <w:spacing w:line="360" w:lineRule="auto"/>
              <w:jc w:val="center"/>
              <w:rPr>
                <w:rFonts w:hint="eastAsia" w:ascii="宋体" w:hAnsi="宋体" w:eastAsia="宋体" w:cs="宋体"/>
                <w:sz w:val="24"/>
              </w:rPr>
            </w:pPr>
          </w:p>
        </w:tc>
        <w:tc>
          <w:tcPr>
            <w:tcW w:w="4335" w:type="dxa"/>
            <w:vAlign w:val="center"/>
          </w:tcPr>
          <w:p>
            <w:pPr>
              <w:spacing w:line="360" w:lineRule="auto"/>
              <w:jc w:val="center"/>
              <w:rPr>
                <w:rFonts w:hint="eastAsia" w:ascii="宋体" w:hAnsi="宋体" w:eastAsia="宋体" w:cs="宋体"/>
                <w:sz w:val="24"/>
              </w:rPr>
            </w:pPr>
          </w:p>
        </w:tc>
        <w:tc>
          <w:tcPr>
            <w:tcW w:w="3146" w:type="dxa"/>
            <w:gridSpan w:val="2"/>
            <w:vAlign w:val="center"/>
          </w:tcPr>
          <w:p>
            <w:pPr>
              <w:spacing w:line="360" w:lineRule="auto"/>
              <w:jc w:val="center"/>
              <w:rPr>
                <w:rFonts w:hint="eastAsia" w:ascii="宋体" w:hAnsi="宋体" w:eastAsia="宋体" w:cs="宋体"/>
                <w:sz w:val="24"/>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236" w:type="dxa"/>
            <w:vAlign w:val="center"/>
          </w:tcPr>
          <w:p>
            <w:pPr>
              <w:spacing w:line="360" w:lineRule="auto"/>
              <w:jc w:val="center"/>
              <w:rPr>
                <w:rFonts w:hint="eastAsia" w:ascii="宋体" w:hAnsi="宋体" w:eastAsia="宋体" w:cs="宋体"/>
                <w:sz w:val="24"/>
              </w:rPr>
            </w:pPr>
          </w:p>
        </w:tc>
        <w:tc>
          <w:tcPr>
            <w:tcW w:w="4335" w:type="dxa"/>
            <w:vAlign w:val="center"/>
          </w:tcPr>
          <w:p>
            <w:pPr>
              <w:spacing w:line="360" w:lineRule="auto"/>
              <w:jc w:val="center"/>
              <w:rPr>
                <w:rFonts w:hint="eastAsia" w:ascii="宋体" w:hAnsi="宋体" w:eastAsia="宋体" w:cs="宋体"/>
                <w:sz w:val="24"/>
              </w:rPr>
            </w:pPr>
          </w:p>
        </w:tc>
        <w:tc>
          <w:tcPr>
            <w:tcW w:w="3146" w:type="dxa"/>
            <w:gridSpan w:val="2"/>
            <w:vAlign w:val="center"/>
          </w:tcPr>
          <w:p>
            <w:pPr>
              <w:spacing w:line="360" w:lineRule="auto"/>
              <w:jc w:val="center"/>
              <w:rPr>
                <w:rFonts w:hint="eastAsia" w:ascii="宋体" w:hAnsi="宋体" w:eastAsia="宋体" w:cs="宋体"/>
                <w:sz w:val="24"/>
              </w:rPr>
            </w:pPr>
          </w:p>
        </w:tc>
      </w:tr>
    </w:tbl>
    <w:p>
      <w:pPr>
        <w:spacing w:line="360" w:lineRule="auto"/>
        <w:ind w:firstLine="480"/>
        <w:rPr>
          <w:rFonts w:ascii="黑体" w:eastAsia="黑体"/>
          <w:sz w:val="24"/>
        </w:rPr>
      </w:pPr>
    </w:p>
    <w:p>
      <w:pPr>
        <w:spacing w:line="360" w:lineRule="auto"/>
        <w:ind w:firstLine="480"/>
        <w:rPr>
          <w:rFonts w:ascii="宋体" w:hAnsi="宋体"/>
          <w:sz w:val="24"/>
        </w:rPr>
      </w:pPr>
    </w:p>
    <w:p>
      <w:pPr>
        <w:spacing w:line="360" w:lineRule="auto"/>
        <w:rPr>
          <w:sz w:val="24"/>
        </w:rPr>
      </w:pPr>
    </w:p>
    <w:p>
      <w:pPr>
        <w:spacing w:line="360" w:lineRule="auto"/>
        <w:rPr>
          <w:sz w:val="24"/>
        </w:rPr>
      </w:pPr>
    </w:p>
    <w:p>
      <w:pPr>
        <w:spacing w:line="360" w:lineRule="auto"/>
        <w:rPr>
          <w:sz w:val="24"/>
        </w:rPr>
      </w:pPr>
    </w:p>
    <w:p>
      <w:pPr>
        <w:spacing w:line="480" w:lineRule="auto"/>
        <w:rPr>
          <w:rFonts w:ascii="黑体" w:eastAsia="黑体"/>
          <w:sz w:val="24"/>
        </w:rPr>
      </w:pPr>
      <w:r>
        <w:rPr>
          <w:rFonts w:hint="eastAsia" w:ascii="黑体" w:eastAsia="黑体"/>
          <w:sz w:val="24"/>
        </w:rPr>
        <w:t>供应商名称：</w:t>
      </w:r>
      <w:r>
        <w:rPr>
          <w:rFonts w:hint="eastAsia" w:ascii="黑体" w:eastAsia="黑体"/>
          <w:sz w:val="24"/>
          <w:u w:val="single"/>
        </w:rPr>
        <w:t xml:space="preserve">        （全称）           </w:t>
      </w:r>
      <w:r>
        <w:rPr>
          <w:rFonts w:hint="eastAsia" w:ascii="黑体" w:eastAsia="黑体"/>
          <w:sz w:val="24"/>
        </w:rPr>
        <w:t xml:space="preserve"> （公章）</w:t>
      </w:r>
    </w:p>
    <w:p>
      <w:pPr>
        <w:spacing w:line="360" w:lineRule="auto"/>
        <w:rPr>
          <w:rFonts w:ascii="黑体" w:eastAsia="黑体"/>
          <w:sz w:val="24"/>
        </w:rPr>
      </w:pPr>
      <w:r>
        <w:rPr>
          <w:rFonts w:hint="eastAsia" w:ascii="黑体" w:eastAsia="黑体"/>
          <w:sz w:val="24"/>
        </w:rPr>
        <w:t>联系人：</w:t>
      </w:r>
      <w:r>
        <w:rPr>
          <w:rFonts w:hint="eastAsia" w:ascii="黑体" w:eastAsia="黑体"/>
          <w:sz w:val="24"/>
          <w:u w:val="single"/>
        </w:rPr>
        <w:t xml:space="preserve">           </w:t>
      </w:r>
    </w:p>
    <w:p>
      <w:pPr>
        <w:spacing w:line="360" w:lineRule="auto"/>
        <w:rPr>
          <w:rFonts w:ascii="黑体" w:eastAsia="黑体"/>
          <w:sz w:val="24"/>
        </w:rPr>
      </w:pPr>
      <w:r>
        <w:rPr>
          <w:rFonts w:hint="eastAsia" w:ascii="黑体" w:eastAsia="黑体"/>
          <w:sz w:val="24"/>
        </w:rPr>
        <w:t>联系电话：</w:t>
      </w:r>
      <w:r>
        <w:rPr>
          <w:rFonts w:hint="eastAsia" w:ascii="黑体" w:eastAsia="黑体"/>
          <w:sz w:val="24"/>
          <w:u w:val="single"/>
        </w:rPr>
        <w:t xml:space="preserve">             </w:t>
      </w:r>
      <w:r>
        <w:rPr>
          <w:rFonts w:hint="eastAsia" w:ascii="黑体" w:eastAsia="黑体"/>
          <w:sz w:val="24"/>
        </w:rPr>
        <w:t xml:space="preserve">  传真：</w:t>
      </w:r>
      <w:r>
        <w:rPr>
          <w:rFonts w:hint="eastAsia" w:ascii="黑体" w:eastAsia="黑体"/>
          <w:sz w:val="24"/>
          <w:u w:val="single"/>
        </w:rPr>
        <w:t xml:space="preserve">            </w:t>
      </w:r>
    </w:p>
    <w:p>
      <w:pPr>
        <w:spacing w:line="360" w:lineRule="auto"/>
        <w:rPr>
          <w:rFonts w:ascii="黑体" w:eastAsia="黑体"/>
          <w:sz w:val="24"/>
        </w:rPr>
      </w:pPr>
    </w:p>
    <w:p>
      <w:pPr>
        <w:spacing w:line="360" w:lineRule="auto"/>
        <w:rPr>
          <w:rFonts w:ascii="黑体" w:eastAsia="黑体"/>
          <w:sz w:val="24"/>
        </w:rPr>
      </w:pPr>
      <w:r>
        <w:rPr>
          <w:rFonts w:hint="eastAsia" w:ascii="黑体" w:eastAsia="黑体"/>
          <w:sz w:val="24"/>
        </w:rPr>
        <w:t>日期：</w:t>
      </w:r>
      <w:r>
        <w:rPr>
          <w:rFonts w:hint="eastAsia" w:ascii="黑体" w:eastAsia="黑体"/>
          <w:sz w:val="24"/>
          <w:u w:val="single"/>
        </w:rPr>
        <w:t xml:space="preserve">    </w:t>
      </w:r>
      <w:r>
        <w:rPr>
          <w:rFonts w:hint="eastAsia" w:ascii="黑体" w:eastAsia="黑体"/>
          <w:sz w:val="24"/>
        </w:rPr>
        <w:t>年</w:t>
      </w:r>
      <w:r>
        <w:rPr>
          <w:rFonts w:hint="eastAsia" w:ascii="黑体" w:eastAsia="黑体"/>
          <w:sz w:val="24"/>
          <w:u w:val="single"/>
        </w:rPr>
        <w:t xml:space="preserve">    </w:t>
      </w:r>
      <w:r>
        <w:rPr>
          <w:rFonts w:hint="eastAsia" w:ascii="黑体" w:eastAsia="黑体"/>
          <w:sz w:val="24"/>
        </w:rPr>
        <w:t>月</w:t>
      </w:r>
      <w:r>
        <w:rPr>
          <w:rFonts w:hint="eastAsia" w:ascii="黑体" w:eastAsia="黑体"/>
          <w:sz w:val="24"/>
          <w:u w:val="single"/>
        </w:rPr>
        <w:t xml:space="preserve">    </w:t>
      </w:r>
      <w:r>
        <w:rPr>
          <w:rFonts w:hint="eastAsia" w:ascii="黑体" w:eastAsia="黑体"/>
          <w:sz w:val="24"/>
        </w:rPr>
        <w:t>日</w:t>
      </w:r>
    </w:p>
    <w:p>
      <w:pPr>
        <w:ind w:firstLine="480"/>
        <w:rPr>
          <w:rFonts w:ascii="宋体" w:hAnsi="宋体" w:cs="宋体"/>
          <w:sz w:val="24"/>
        </w:rPr>
      </w:pPr>
    </w:p>
    <w:p>
      <w:pPr>
        <w:pStyle w:val="4"/>
        <w:pageBreakBefore/>
        <w:spacing w:after="156"/>
        <w:ind w:left="-6"/>
        <w:rPr>
          <w:rFonts w:ascii="黑体" w:eastAsia="黑体"/>
          <w:b w:val="0"/>
          <w:bCs/>
          <w:color w:val="auto"/>
          <w:sz w:val="32"/>
          <w:szCs w:val="18"/>
        </w:rPr>
      </w:pPr>
      <w:r>
        <w:rPr>
          <w:rFonts w:hint="eastAsia" w:ascii="黑体" w:eastAsia="黑体"/>
          <w:b w:val="0"/>
          <w:bCs/>
          <w:color w:val="auto"/>
          <w:sz w:val="32"/>
          <w:szCs w:val="18"/>
        </w:rPr>
        <w:t>附件</w:t>
      </w:r>
      <w:r>
        <w:rPr>
          <w:rFonts w:hint="eastAsia" w:ascii="黑体" w:eastAsia="黑体"/>
          <w:b w:val="0"/>
          <w:bCs/>
          <w:color w:val="auto"/>
          <w:sz w:val="32"/>
          <w:szCs w:val="18"/>
          <w:lang w:val="en-US" w:eastAsia="zh-CN"/>
        </w:rPr>
        <w:t>二</w:t>
      </w:r>
      <w:r>
        <w:rPr>
          <w:rFonts w:hint="eastAsia" w:ascii="黑体" w:eastAsia="黑体"/>
          <w:b w:val="0"/>
          <w:bCs/>
          <w:color w:val="auto"/>
          <w:sz w:val="32"/>
          <w:szCs w:val="18"/>
        </w:rPr>
        <w:t>：询问函、质疑函、投诉书格式</w:t>
      </w:r>
      <w:bookmarkEnd w:id="1526"/>
      <w:bookmarkEnd w:id="1527"/>
      <w:bookmarkEnd w:id="1528"/>
      <w:bookmarkEnd w:id="1529"/>
      <w:bookmarkEnd w:id="1530"/>
    </w:p>
    <w:p>
      <w:pPr>
        <w:spacing w:line="360" w:lineRule="auto"/>
        <w:ind w:firstLine="480" w:firstLineChars="200"/>
        <w:jc w:val="left"/>
        <w:rPr>
          <w:rFonts w:ascii="宋体" w:hAnsi="宋体" w:cs="宋体"/>
          <w:sz w:val="24"/>
        </w:rPr>
      </w:pPr>
      <w:r>
        <w:rPr>
          <w:rFonts w:hint="eastAsia" w:ascii="宋体" w:hAnsi="宋体" w:cs="宋体"/>
          <w:sz w:val="24"/>
        </w:rPr>
        <w:t>说明：本部分格式为</w:t>
      </w:r>
      <w:r>
        <w:rPr>
          <w:rFonts w:hint="eastAsia" w:ascii="宋体" w:hAnsi="宋体" w:cs="宋体"/>
          <w:sz w:val="24"/>
          <w:lang w:eastAsia="zh-CN"/>
        </w:rPr>
        <w:t>供应商</w:t>
      </w:r>
      <w:r>
        <w:rPr>
          <w:rFonts w:hint="eastAsia" w:ascii="宋体" w:hAnsi="宋体" w:cs="宋体"/>
          <w:sz w:val="24"/>
        </w:rPr>
        <w:t>提交询问函、质疑函、投诉函时使用，不属于投标文件格式的组成部分。</w:t>
      </w:r>
    </w:p>
    <w:p>
      <w:pPr>
        <w:jc w:val="center"/>
        <w:rPr>
          <w:rFonts w:ascii="宋体" w:hAnsi="宋体" w:cs="宋体"/>
          <w:b/>
          <w:sz w:val="24"/>
        </w:rPr>
      </w:pPr>
      <w:r>
        <w:rPr>
          <w:rFonts w:hint="eastAsia" w:ascii="宋体" w:hAnsi="宋体" w:cs="宋体"/>
          <w:b/>
          <w:sz w:val="24"/>
        </w:rPr>
        <w:t>询问函</w:t>
      </w:r>
    </w:p>
    <w:p>
      <w:pPr>
        <w:spacing w:line="360" w:lineRule="auto"/>
        <w:ind w:firstLine="480" w:firstLineChars="200"/>
        <w:jc w:val="left"/>
        <w:rPr>
          <w:rFonts w:hint="eastAsia" w:ascii="宋体" w:hAnsi="宋体" w:eastAsia="宋体" w:cs="宋体"/>
          <w:sz w:val="24"/>
          <w:lang w:eastAsia="zh-CN"/>
        </w:rPr>
      </w:pPr>
      <w:r>
        <w:rPr>
          <w:rFonts w:hint="eastAsia" w:ascii="宋体" w:hAnsi="宋体" w:cs="宋体"/>
          <w:sz w:val="24"/>
          <w:lang w:eastAsia="zh-CN"/>
        </w:rPr>
        <w:t>广东远东招标代理有限公司</w:t>
      </w:r>
    </w:p>
    <w:p>
      <w:pPr>
        <w:spacing w:line="360" w:lineRule="auto"/>
        <w:ind w:firstLine="480" w:firstLineChars="200"/>
        <w:jc w:val="left"/>
        <w:rPr>
          <w:rFonts w:ascii="宋体" w:hAnsi="宋体" w:cs="宋体"/>
          <w:sz w:val="24"/>
        </w:rPr>
      </w:pPr>
      <w:r>
        <w:rPr>
          <w:rFonts w:hint="eastAsia" w:ascii="宋体" w:hAnsi="宋体" w:cs="宋体"/>
          <w:sz w:val="24"/>
        </w:rPr>
        <w:t>我单位已登记并准备参与</w:t>
      </w:r>
      <w:r>
        <w:rPr>
          <w:rFonts w:hint="eastAsia" w:ascii="宋体" w:hAnsi="宋体" w:cs="宋体"/>
          <w:sz w:val="24"/>
          <w:u w:val="single"/>
          <w:lang w:eastAsia="zh-CN"/>
        </w:rPr>
        <w:t>佛山市公安局铺设电缆</w:t>
      </w:r>
      <w:r>
        <w:rPr>
          <w:rFonts w:hint="eastAsia" w:ascii="宋体" w:hAnsi="宋体" w:cs="宋体"/>
          <w:sz w:val="24"/>
        </w:rPr>
        <w:t>（</w:t>
      </w:r>
      <w:r>
        <w:rPr>
          <w:rFonts w:hint="eastAsia" w:ascii="宋体" w:hAnsi="宋体" w:cs="宋体"/>
          <w:sz w:val="24"/>
          <w:lang w:eastAsia="zh-CN"/>
        </w:rPr>
        <w:t>采购项目编号：fsganb202404005</w:t>
      </w:r>
      <w:r>
        <w:rPr>
          <w:rFonts w:hint="eastAsia" w:ascii="宋体" w:hAnsi="宋体" w:cs="宋体"/>
          <w:sz w:val="24"/>
        </w:rPr>
        <w:t>）的投标活动，现有以下几个内容（或条款）存在疑问（或无法理解），特提出询问。</w:t>
      </w:r>
    </w:p>
    <w:p>
      <w:pPr>
        <w:spacing w:line="360" w:lineRule="auto"/>
        <w:ind w:firstLine="480" w:firstLineChars="200"/>
        <w:jc w:val="left"/>
        <w:rPr>
          <w:rFonts w:ascii="宋体" w:hAnsi="宋体" w:cs="宋体"/>
          <w:sz w:val="24"/>
        </w:rPr>
      </w:pPr>
      <w:r>
        <w:rPr>
          <w:rFonts w:hint="eastAsia" w:ascii="宋体" w:hAnsi="宋体" w:cs="宋体"/>
          <w:sz w:val="24"/>
        </w:rPr>
        <w:t>一、_____________________（事项一）</w:t>
      </w:r>
    </w:p>
    <w:p>
      <w:pPr>
        <w:spacing w:line="360" w:lineRule="auto"/>
        <w:ind w:firstLine="480" w:firstLineChars="200"/>
        <w:jc w:val="left"/>
        <w:rPr>
          <w:rFonts w:ascii="宋体" w:hAnsi="宋体" w:cs="宋体"/>
          <w:sz w:val="24"/>
        </w:rPr>
      </w:pPr>
      <w:r>
        <w:rPr>
          <w:rFonts w:hint="eastAsia" w:ascii="宋体" w:hAnsi="宋体" w:cs="宋体"/>
          <w:sz w:val="24"/>
        </w:rPr>
        <w:t>（1）____________________（问题或条款内容）</w:t>
      </w:r>
    </w:p>
    <w:p>
      <w:pPr>
        <w:spacing w:line="360" w:lineRule="auto"/>
        <w:ind w:firstLine="480" w:firstLineChars="200"/>
        <w:jc w:val="left"/>
        <w:rPr>
          <w:rFonts w:ascii="宋体" w:hAnsi="宋体" w:cs="宋体"/>
          <w:sz w:val="24"/>
        </w:rPr>
      </w:pPr>
      <w:r>
        <w:rPr>
          <w:rFonts w:hint="eastAsia" w:ascii="宋体" w:hAnsi="宋体" w:cs="宋体"/>
          <w:sz w:val="24"/>
        </w:rPr>
        <w:t>（2）____________________（说明疑问或无法理解原因）</w:t>
      </w:r>
    </w:p>
    <w:p>
      <w:pPr>
        <w:spacing w:line="360" w:lineRule="auto"/>
        <w:ind w:firstLine="480" w:firstLineChars="200"/>
        <w:jc w:val="left"/>
        <w:rPr>
          <w:rFonts w:ascii="宋体" w:hAnsi="宋体" w:cs="宋体"/>
          <w:sz w:val="24"/>
        </w:rPr>
      </w:pPr>
      <w:r>
        <w:rPr>
          <w:rFonts w:hint="eastAsia" w:ascii="宋体" w:hAnsi="宋体" w:cs="宋体"/>
          <w:sz w:val="24"/>
        </w:rPr>
        <w:t>（3）____________________（建议）</w:t>
      </w:r>
    </w:p>
    <w:p>
      <w:pPr>
        <w:spacing w:line="360" w:lineRule="auto"/>
        <w:ind w:firstLine="480" w:firstLineChars="200"/>
        <w:jc w:val="left"/>
        <w:rPr>
          <w:rFonts w:ascii="宋体" w:hAnsi="宋体" w:cs="宋体"/>
          <w:sz w:val="24"/>
        </w:rPr>
      </w:pPr>
      <w:r>
        <w:rPr>
          <w:rFonts w:hint="eastAsia" w:ascii="宋体" w:hAnsi="宋体" w:cs="宋体"/>
          <w:sz w:val="24"/>
        </w:rPr>
        <w:t>二、_____________________（事项二）</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随附相关证明材料如下：（目录）</w:t>
      </w:r>
    </w:p>
    <w:p>
      <w:pPr>
        <w:spacing w:line="360" w:lineRule="auto"/>
        <w:ind w:firstLine="480" w:firstLineChars="200"/>
        <w:jc w:val="left"/>
        <w:rPr>
          <w:rFonts w:ascii="宋体" w:hAnsi="宋体" w:cs="宋体"/>
          <w:sz w:val="24"/>
        </w:rPr>
      </w:pPr>
      <w:r>
        <w:rPr>
          <w:rFonts w:hint="eastAsia" w:ascii="宋体" w:hAnsi="宋体" w:cs="宋体"/>
          <w:sz w:val="24"/>
        </w:rPr>
        <w:t>询问人（公章）：_____________________</w:t>
      </w:r>
    </w:p>
    <w:p>
      <w:pPr>
        <w:spacing w:line="360" w:lineRule="auto"/>
        <w:ind w:firstLine="480" w:firstLineChars="200"/>
        <w:jc w:val="left"/>
        <w:rPr>
          <w:rFonts w:ascii="宋体" w:hAnsi="宋体" w:cs="宋体"/>
          <w:sz w:val="24"/>
        </w:rPr>
      </w:pPr>
      <w:r>
        <w:rPr>
          <w:rFonts w:hint="eastAsia" w:ascii="宋体" w:hAnsi="宋体" w:cs="宋体"/>
          <w:sz w:val="24"/>
        </w:rPr>
        <w:t>法定代表人或授权代表（签字或盖章）：_____________________</w:t>
      </w:r>
    </w:p>
    <w:p>
      <w:pPr>
        <w:spacing w:line="360" w:lineRule="auto"/>
        <w:ind w:firstLine="480" w:firstLineChars="200"/>
        <w:jc w:val="left"/>
        <w:rPr>
          <w:rFonts w:ascii="宋体" w:hAnsi="宋体" w:cs="宋体"/>
          <w:sz w:val="24"/>
        </w:rPr>
      </w:pPr>
      <w:r>
        <w:rPr>
          <w:rFonts w:hint="eastAsia" w:ascii="宋体" w:hAnsi="宋体" w:cs="宋体"/>
          <w:sz w:val="24"/>
        </w:rPr>
        <w:t>地址/邮编：_____________________</w:t>
      </w:r>
    </w:p>
    <w:p>
      <w:pPr>
        <w:spacing w:line="360" w:lineRule="auto"/>
        <w:ind w:firstLine="480" w:firstLineChars="200"/>
        <w:jc w:val="left"/>
        <w:rPr>
          <w:rFonts w:ascii="宋体" w:hAnsi="宋体" w:cs="宋体"/>
          <w:sz w:val="24"/>
        </w:rPr>
      </w:pPr>
      <w:r>
        <w:rPr>
          <w:rFonts w:hint="eastAsia" w:ascii="宋体" w:hAnsi="宋体" w:cs="宋体"/>
          <w:sz w:val="24"/>
        </w:rPr>
        <w:t>电话/传真：_____________________</w:t>
      </w:r>
    </w:p>
    <w:p>
      <w:pPr>
        <w:spacing w:line="360" w:lineRule="auto"/>
        <w:ind w:firstLine="480" w:firstLineChars="200"/>
        <w:jc w:val="left"/>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ind w:firstLine="480"/>
      </w:pPr>
    </w:p>
    <w:p>
      <w:r>
        <w:t xml:space="preserve"> </w:t>
      </w:r>
    </w:p>
    <w:p/>
    <w:p>
      <w:pPr>
        <w:pStyle w:val="4"/>
        <w:pageBreakBefore/>
        <w:spacing w:after="156"/>
        <w:ind w:left="-6"/>
        <w:rPr>
          <w:rFonts w:ascii="黑体" w:eastAsia="黑体"/>
          <w:b w:val="0"/>
          <w:bCs/>
          <w:color w:val="auto"/>
          <w:sz w:val="32"/>
          <w:szCs w:val="18"/>
        </w:rPr>
      </w:pPr>
      <w:bookmarkStart w:id="1539" w:name="_Toc14056"/>
      <w:bookmarkStart w:id="1540" w:name="_Toc24960"/>
      <w:bookmarkStart w:id="1541" w:name="_Toc15120"/>
      <w:bookmarkStart w:id="1542" w:name="_Toc10470"/>
      <w:bookmarkStart w:id="1543" w:name="_Toc21071"/>
      <w:r>
        <w:rPr>
          <w:rFonts w:hint="eastAsia" w:ascii="黑体" w:eastAsia="黑体"/>
          <w:b w:val="0"/>
          <w:bCs/>
          <w:color w:val="auto"/>
          <w:sz w:val="32"/>
          <w:szCs w:val="18"/>
        </w:rPr>
        <w:t>附件三：质疑函</w:t>
      </w:r>
      <w:bookmarkEnd w:id="1539"/>
      <w:bookmarkEnd w:id="1540"/>
      <w:bookmarkEnd w:id="1541"/>
      <w:bookmarkEnd w:id="1542"/>
      <w:bookmarkEnd w:id="1543"/>
    </w:p>
    <w:p>
      <w:pPr>
        <w:spacing w:line="312" w:lineRule="auto"/>
        <w:ind w:firstLine="480" w:firstLineChars="200"/>
        <w:jc w:val="left"/>
        <w:rPr>
          <w:rFonts w:ascii="宋体" w:hAnsi="宋体" w:cs="宋体"/>
          <w:sz w:val="24"/>
        </w:rPr>
      </w:pPr>
      <w:r>
        <w:rPr>
          <w:rFonts w:hint="eastAsia" w:ascii="宋体" w:hAnsi="宋体" w:cs="宋体"/>
          <w:sz w:val="24"/>
        </w:rPr>
        <w:t>一、质疑供应商基本信息</w:t>
      </w:r>
    </w:p>
    <w:p>
      <w:pPr>
        <w:spacing w:line="312" w:lineRule="auto"/>
        <w:ind w:firstLine="480" w:firstLineChars="200"/>
        <w:jc w:val="left"/>
        <w:rPr>
          <w:rFonts w:ascii="宋体" w:hAnsi="宋体" w:cs="宋体"/>
          <w:sz w:val="24"/>
        </w:rPr>
      </w:pPr>
      <w:r>
        <w:rPr>
          <w:rFonts w:hint="eastAsia" w:ascii="宋体" w:hAnsi="宋体" w:cs="宋体"/>
          <w:sz w:val="24"/>
        </w:rPr>
        <w:t>质疑供应商：</w:t>
      </w:r>
    </w:p>
    <w:p>
      <w:pPr>
        <w:spacing w:line="312" w:lineRule="auto"/>
        <w:ind w:firstLine="480" w:firstLineChars="200"/>
        <w:jc w:val="left"/>
        <w:rPr>
          <w:rFonts w:ascii="宋体" w:hAnsi="宋体" w:cs="宋体"/>
          <w:sz w:val="24"/>
        </w:rPr>
      </w:pPr>
      <w:r>
        <w:rPr>
          <w:rFonts w:hint="eastAsia" w:ascii="宋体" w:hAnsi="宋体" w:cs="宋体"/>
          <w:sz w:val="24"/>
        </w:rPr>
        <w:t>地址：_____________________邮编：_____________________</w:t>
      </w:r>
    </w:p>
    <w:p>
      <w:pPr>
        <w:spacing w:line="312" w:lineRule="auto"/>
        <w:ind w:firstLine="480" w:firstLineChars="200"/>
        <w:jc w:val="left"/>
        <w:rPr>
          <w:rFonts w:ascii="宋体" w:hAnsi="宋体" w:cs="宋体"/>
          <w:sz w:val="24"/>
        </w:rPr>
      </w:pPr>
      <w:r>
        <w:rPr>
          <w:rFonts w:hint="eastAsia" w:ascii="宋体" w:hAnsi="宋体" w:cs="宋体"/>
          <w:sz w:val="24"/>
        </w:rPr>
        <w:t>联系：_____________________联系电话：_____________________</w:t>
      </w:r>
    </w:p>
    <w:p>
      <w:pPr>
        <w:spacing w:line="312" w:lineRule="auto"/>
        <w:ind w:firstLine="480" w:firstLineChars="200"/>
        <w:jc w:val="left"/>
        <w:rPr>
          <w:rFonts w:ascii="宋体" w:hAnsi="宋体" w:cs="宋体"/>
          <w:sz w:val="24"/>
        </w:rPr>
      </w:pPr>
      <w:r>
        <w:rPr>
          <w:rFonts w:hint="eastAsia" w:ascii="宋体" w:hAnsi="宋体" w:cs="宋体"/>
          <w:sz w:val="24"/>
        </w:rPr>
        <w:t>授权代表：_____________________</w:t>
      </w:r>
    </w:p>
    <w:p>
      <w:pPr>
        <w:spacing w:line="312" w:lineRule="auto"/>
        <w:ind w:firstLine="480" w:firstLineChars="200"/>
        <w:jc w:val="left"/>
        <w:rPr>
          <w:rFonts w:ascii="宋体" w:hAnsi="宋体" w:cs="宋体"/>
          <w:sz w:val="24"/>
        </w:rPr>
      </w:pPr>
      <w:r>
        <w:rPr>
          <w:rFonts w:hint="eastAsia" w:ascii="宋体" w:hAnsi="宋体" w:cs="宋体"/>
          <w:sz w:val="24"/>
        </w:rPr>
        <w:t>联系电话：_____________________</w:t>
      </w:r>
    </w:p>
    <w:p>
      <w:pPr>
        <w:spacing w:line="312" w:lineRule="auto"/>
        <w:ind w:firstLine="480" w:firstLineChars="200"/>
        <w:jc w:val="left"/>
        <w:rPr>
          <w:rFonts w:ascii="宋体" w:hAnsi="宋体" w:cs="宋体"/>
          <w:sz w:val="24"/>
        </w:rPr>
      </w:pPr>
      <w:r>
        <w:rPr>
          <w:rFonts w:hint="eastAsia" w:ascii="宋体" w:hAnsi="宋体" w:cs="宋体"/>
          <w:sz w:val="24"/>
        </w:rPr>
        <w:t>地址：_____________________邮编：_____________________</w:t>
      </w:r>
    </w:p>
    <w:p>
      <w:pPr>
        <w:spacing w:line="312" w:lineRule="auto"/>
        <w:ind w:firstLine="480" w:firstLineChars="200"/>
        <w:jc w:val="left"/>
        <w:rPr>
          <w:rFonts w:ascii="宋体" w:hAnsi="宋体" w:cs="宋体"/>
          <w:sz w:val="24"/>
        </w:rPr>
      </w:pPr>
      <w:r>
        <w:rPr>
          <w:rFonts w:hint="eastAsia" w:ascii="宋体" w:hAnsi="宋体" w:cs="宋体"/>
          <w:sz w:val="24"/>
        </w:rPr>
        <w:t>二、质疑项目基本情况</w:t>
      </w:r>
    </w:p>
    <w:p>
      <w:pPr>
        <w:spacing w:line="312" w:lineRule="auto"/>
        <w:ind w:firstLine="480" w:firstLineChars="200"/>
        <w:jc w:val="left"/>
        <w:rPr>
          <w:rFonts w:ascii="宋体" w:hAnsi="宋体" w:cs="宋体"/>
          <w:sz w:val="24"/>
        </w:rPr>
      </w:pPr>
      <w:r>
        <w:rPr>
          <w:rFonts w:hint="eastAsia" w:ascii="宋体" w:hAnsi="宋体" w:cs="宋体"/>
          <w:sz w:val="24"/>
        </w:rPr>
        <w:t>质疑项目的名称：_____________________</w:t>
      </w:r>
    </w:p>
    <w:p>
      <w:pPr>
        <w:spacing w:line="312" w:lineRule="auto"/>
        <w:ind w:firstLine="480" w:firstLineChars="200"/>
        <w:jc w:val="left"/>
        <w:rPr>
          <w:rFonts w:ascii="宋体" w:hAnsi="宋体" w:cs="宋体"/>
          <w:sz w:val="24"/>
        </w:rPr>
      </w:pPr>
      <w:r>
        <w:rPr>
          <w:rFonts w:hint="eastAsia" w:ascii="宋体" w:hAnsi="宋体" w:cs="宋体"/>
          <w:sz w:val="24"/>
        </w:rPr>
        <w:t>质疑项目的编号：_____________________ 包号：_____________________</w:t>
      </w:r>
    </w:p>
    <w:p>
      <w:pPr>
        <w:spacing w:line="312" w:lineRule="auto"/>
        <w:ind w:firstLine="480" w:firstLineChars="200"/>
        <w:jc w:val="left"/>
        <w:rPr>
          <w:rFonts w:ascii="宋体" w:hAnsi="宋体" w:cs="宋体"/>
          <w:sz w:val="24"/>
        </w:rPr>
      </w:pPr>
      <w:r>
        <w:rPr>
          <w:rFonts w:hint="eastAsia" w:ascii="宋体" w:hAnsi="宋体" w:cs="宋体"/>
          <w:sz w:val="24"/>
        </w:rPr>
        <w:t>采购人名称：_____________________</w:t>
      </w:r>
    </w:p>
    <w:p>
      <w:pPr>
        <w:spacing w:line="312" w:lineRule="auto"/>
        <w:ind w:firstLine="480" w:firstLineChars="200"/>
        <w:jc w:val="left"/>
        <w:rPr>
          <w:rFonts w:ascii="宋体" w:hAnsi="宋体" w:cs="宋体"/>
          <w:sz w:val="24"/>
        </w:rPr>
      </w:pPr>
      <w:r>
        <w:rPr>
          <w:rFonts w:hint="eastAsia" w:ascii="宋体" w:hAnsi="宋体" w:cs="宋体"/>
          <w:sz w:val="24"/>
        </w:rPr>
        <w:t>采购文件获取日期：_____________________</w:t>
      </w:r>
    </w:p>
    <w:p>
      <w:pPr>
        <w:spacing w:line="312" w:lineRule="auto"/>
        <w:ind w:firstLine="480" w:firstLineChars="200"/>
        <w:jc w:val="left"/>
        <w:rPr>
          <w:rFonts w:ascii="宋体" w:hAnsi="宋体" w:cs="宋体"/>
          <w:sz w:val="24"/>
        </w:rPr>
      </w:pPr>
      <w:r>
        <w:rPr>
          <w:rFonts w:hint="eastAsia" w:ascii="宋体" w:hAnsi="宋体" w:cs="宋体"/>
          <w:sz w:val="24"/>
        </w:rPr>
        <w:t>三、质疑事项具体内容</w:t>
      </w:r>
    </w:p>
    <w:p>
      <w:pPr>
        <w:spacing w:line="312" w:lineRule="auto"/>
        <w:ind w:firstLine="480" w:firstLineChars="200"/>
        <w:jc w:val="left"/>
        <w:rPr>
          <w:rFonts w:ascii="宋体" w:hAnsi="宋体" w:cs="宋体"/>
          <w:sz w:val="24"/>
        </w:rPr>
      </w:pPr>
      <w:r>
        <w:rPr>
          <w:rFonts w:hint="eastAsia" w:ascii="宋体" w:hAnsi="宋体" w:cs="宋体"/>
          <w:sz w:val="24"/>
        </w:rPr>
        <w:t>质疑事项1：_____________________</w:t>
      </w:r>
    </w:p>
    <w:p>
      <w:pPr>
        <w:spacing w:line="312" w:lineRule="auto"/>
        <w:ind w:firstLine="480" w:firstLineChars="200"/>
        <w:jc w:val="left"/>
        <w:rPr>
          <w:rFonts w:ascii="宋体" w:hAnsi="宋体" w:cs="宋体"/>
          <w:sz w:val="24"/>
        </w:rPr>
      </w:pPr>
      <w:r>
        <w:rPr>
          <w:rFonts w:hint="eastAsia" w:ascii="宋体" w:hAnsi="宋体" w:cs="宋体"/>
          <w:sz w:val="24"/>
        </w:rPr>
        <w:t>事实依据：_____________________</w:t>
      </w:r>
    </w:p>
    <w:p>
      <w:pPr>
        <w:spacing w:line="312" w:lineRule="auto"/>
        <w:ind w:firstLine="480" w:firstLineChars="200"/>
        <w:jc w:val="left"/>
        <w:rPr>
          <w:rFonts w:ascii="宋体" w:hAnsi="宋体" w:cs="宋体"/>
          <w:sz w:val="24"/>
        </w:rPr>
      </w:pPr>
      <w:r>
        <w:rPr>
          <w:rFonts w:hint="eastAsia" w:ascii="宋体" w:hAnsi="宋体" w:cs="宋体"/>
          <w:sz w:val="24"/>
        </w:rPr>
        <w:t>法律依据：_____________________</w:t>
      </w:r>
    </w:p>
    <w:p>
      <w:pPr>
        <w:spacing w:line="312" w:lineRule="auto"/>
        <w:ind w:firstLine="480" w:firstLineChars="200"/>
        <w:jc w:val="left"/>
        <w:rPr>
          <w:rFonts w:ascii="宋体" w:hAnsi="宋体" w:cs="宋体"/>
          <w:sz w:val="24"/>
        </w:rPr>
      </w:pPr>
      <w:r>
        <w:rPr>
          <w:rFonts w:hint="eastAsia" w:ascii="宋体" w:hAnsi="宋体" w:cs="宋体"/>
          <w:sz w:val="24"/>
        </w:rPr>
        <w:t>质疑事项2：_____________________</w:t>
      </w:r>
    </w:p>
    <w:p>
      <w:pPr>
        <w:spacing w:line="312" w:lineRule="auto"/>
        <w:ind w:firstLine="480" w:firstLineChars="200"/>
        <w:jc w:val="left"/>
        <w:rPr>
          <w:rFonts w:ascii="宋体" w:hAnsi="宋体" w:cs="宋体"/>
          <w:sz w:val="24"/>
        </w:rPr>
      </w:pPr>
      <w:r>
        <w:rPr>
          <w:rFonts w:hint="eastAsia" w:ascii="宋体" w:hAnsi="宋体" w:cs="宋体"/>
          <w:sz w:val="24"/>
        </w:rPr>
        <w:t>……</w:t>
      </w:r>
    </w:p>
    <w:p>
      <w:pPr>
        <w:spacing w:line="312" w:lineRule="auto"/>
        <w:ind w:firstLine="480" w:firstLineChars="200"/>
        <w:jc w:val="left"/>
        <w:rPr>
          <w:rFonts w:ascii="宋体" w:hAnsi="宋体" w:cs="宋体"/>
          <w:sz w:val="24"/>
        </w:rPr>
      </w:pPr>
      <w:r>
        <w:rPr>
          <w:rFonts w:hint="eastAsia" w:ascii="宋体" w:hAnsi="宋体" w:cs="宋体"/>
          <w:sz w:val="24"/>
        </w:rPr>
        <w:t>四、与质疑事项相关的质疑请求</w:t>
      </w:r>
    </w:p>
    <w:p>
      <w:pPr>
        <w:spacing w:line="312" w:lineRule="auto"/>
        <w:ind w:firstLine="480" w:firstLineChars="200"/>
        <w:jc w:val="left"/>
        <w:rPr>
          <w:rFonts w:ascii="宋体" w:hAnsi="宋体" w:cs="宋体"/>
          <w:sz w:val="24"/>
        </w:rPr>
      </w:pPr>
      <w:r>
        <w:rPr>
          <w:rFonts w:hint="eastAsia" w:ascii="宋体" w:hAnsi="宋体" w:cs="宋体"/>
          <w:sz w:val="24"/>
        </w:rPr>
        <w:t>请求：__________________________________________</w:t>
      </w:r>
    </w:p>
    <w:p>
      <w:pPr>
        <w:spacing w:line="312" w:lineRule="auto"/>
        <w:ind w:firstLine="480" w:firstLineChars="200"/>
        <w:jc w:val="left"/>
        <w:rPr>
          <w:rFonts w:ascii="宋体" w:hAnsi="宋体" w:cs="宋体"/>
          <w:sz w:val="24"/>
        </w:rPr>
      </w:pPr>
      <w:r>
        <w:rPr>
          <w:rFonts w:hint="eastAsia" w:ascii="宋体" w:hAnsi="宋体" w:cs="宋体"/>
          <w:sz w:val="24"/>
        </w:rPr>
        <w:t xml:space="preserve"> 签字(签章)：_____________________ 公章：_____________________</w:t>
      </w:r>
    </w:p>
    <w:p>
      <w:pPr>
        <w:spacing w:line="312" w:lineRule="auto"/>
        <w:ind w:firstLine="480" w:firstLineChars="200"/>
        <w:jc w:val="left"/>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264" w:lineRule="auto"/>
        <w:ind w:firstLine="420" w:firstLineChars="200"/>
        <w:jc w:val="left"/>
        <w:rPr>
          <w:rFonts w:ascii="宋体" w:hAnsi="宋体" w:cs="宋体"/>
          <w:szCs w:val="21"/>
        </w:rPr>
      </w:pPr>
      <w:r>
        <w:rPr>
          <w:rFonts w:hint="eastAsia" w:ascii="宋体" w:hAnsi="宋体" w:cs="宋体"/>
          <w:szCs w:val="21"/>
        </w:rPr>
        <w:t>质疑函制作说明：</w:t>
      </w:r>
    </w:p>
    <w:p>
      <w:pPr>
        <w:spacing w:line="264" w:lineRule="auto"/>
        <w:ind w:firstLine="420" w:firstLineChars="200"/>
        <w:jc w:val="left"/>
        <w:rPr>
          <w:rFonts w:ascii="宋体" w:hAnsi="宋体" w:cs="宋体"/>
          <w:szCs w:val="21"/>
        </w:rPr>
      </w:pPr>
      <w:r>
        <w:rPr>
          <w:rFonts w:hint="eastAsia" w:ascii="宋体" w:hAnsi="宋体" w:cs="宋体"/>
          <w:szCs w:val="21"/>
        </w:rPr>
        <w:t>1.供应商提出质疑时，应提交质疑函和必要的证明材料。</w:t>
      </w:r>
    </w:p>
    <w:p>
      <w:pPr>
        <w:spacing w:line="264" w:lineRule="auto"/>
        <w:ind w:firstLine="420" w:firstLineChars="200"/>
        <w:jc w:val="left"/>
        <w:rPr>
          <w:rFonts w:ascii="宋体" w:hAnsi="宋体" w:cs="宋体"/>
          <w:szCs w:val="21"/>
        </w:rPr>
      </w:pPr>
      <w:r>
        <w:rPr>
          <w:rFonts w:hint="eastAsia" w:ascii="宋体" w:hAnsi="宋体" w:cs="宋体"/>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264" w:lineRule="auto"/>
        <w:ind w:firstLine="420" w:firstLineChars="200"/>
        <w:jc w:val="left"/>
        <w:rPr>
          <w:rFonts w:ascii="宋体" w:hAnsi="宋体" w:cs="宋体"/>
          <w:szCs w:val="21"/>
        </w:rPr>
      </w:pPr>
      <w:r>
        <w:rPr>
          <w:rFonts w:hint="eastAsia" w:ascii="宋体" w:hAnsi="宋体" w:cs="宋体"/>
          <w:szCs w:val="21"/>
        </w:rPr>
        <w:t>3.质疑供应商若对项目的某一分包进行质疑，质疑函中应列明具体采购包号。</w:t>
      </w:r>
    </w:p>
    <w:p>
      <w:pPr>
        <w:spacing w:line="264" w:lineRule="auto"/>
        <w:ind w:firstLine="420" w:firstLineChars="200"/>
        <w:jc w:val="left"/>
        <w:rPr>
          <w:rFonts w:ascii="宋体" w:hAnsi="宋体" w:cs="宋体"/>
          <w:szCs w:val="21"/>
        </w:rPr>
      </w:pPr>
      <w:r>
        <w:rPr>
          <w:rFonts w:hint="eastAsia" w:ascii="宋体" w:hAnsi="宋体" w:cs="宋体"/>
          <w:szCs w:val="21"/>
        </w:rPr>
        <w:t>4.质疑函的质疑事项应具体、明确，并有必要的事实依据和法律依据。</w:t>
      </w:r>
    </w:p>
    <w:p>
      <w:pPr>
        <w:spacing w:line="264" w:lineRule="auto"/>
        <w:ind w:firstLine="420" w:firstLineChars="200"/>
        <w:jc w:val="left"/>
        <w:rPr>
          <w:rFonts w:ascii="宋体" w:hAnsi="宋体" w:cs="宋体"/>
          <w:szCs w:val="21"/>
        </w:rPr>
      </w:pPr>
      <w:r>
        <w:rPr>
          <w:rFonts w:hint="eastAsia" w:ascii="宋体" w:hAnsi="宋体" w:cs="宋体"/>
          <w:szCs w:val="21"/>
        </w:rPr>
        <w:t>5.质疑函的质疑请求应与质疑事项相关。</w:t>
      </w:r>
    </w:p>
    <w:p>
      <w:pPr>
        <w:spacing w:line="264" w:lineRule="auto"/>
        <w:ind w:firstLine="420" w:firstLineChars="200"/>
        <w:jc w:val="left"/>
        <w:rPr>
          <w:rFonts w:ascii="宋体" w:hAnsi="宋体" w:cs="宋体"/>
          <w:szCs w:val="21"/>
        </w:rPr>
      </w:pPr>
      <w:r>
        <w:rPr>
          <w:rFonts w:hint="eastAsia" w:ascii="宋体" w:hAnsi="宋体" w:cs="宋体"/>
          <w:szCs w:val="21"/>
        </w:rPr>
        <w:t>6.质疑供应商为自然人的，质疑函应由本人签字；质疑供应商为法人或者其他组织的，质疑函应由法定代表人、主要负责人，或者其授权代表签字或者盖章，并加盖公章。</w:t>
      </w:r>
    </w:p>
    <w:p>
      <w:pPr>
        <w:pStyle w:val="4"/>
        <w:pageBreakBefore/>
        <w:spacing w:after="156"/>
        <w:ind w:left="-6"/>
        <w:rPr>
          <w:rFonts w:ascii="黑体" w:eastAsia="黑体"/>
          <w:b w:val="0"/>
          <w:bCs/>
          <w:color w:val="auto"/>
          <w:sz w:val="32"/>
          <w:szCs w:val="18"/>
        </w:rPr>
      </w:pPr>
      <w:bookmarkStart w:id="1544" w:name="_Toc26152"/>
      <w:bookmarkStart w:id="1545" w:name="_Toc21625"/>
      <w:bookmarkStart w:id="1546" w:name="_Toc7538"/>
      <w:bookmarkStart w:id="1547" w:name="_Toc27172"/>
      <w:bookmarkStart w:id="1548" w:name="_Toc21028"/>
      <w:r>
        <w:rPr>
          <w:rFonts w:hint="eastAsia" w:ascii="黑体" w:eastAsia="黑体"/>
          <w:b w:val="0"/>
          <w:bCs/>
          <w:color w:val="auto"/>
          <w:sz w:val="32"/>
          <w:szCs w:val="18"/>
        </w:rPr>
        <w:t>附件四：投诉书</w:t>
      </w:r>
      <w:bookmarkEnd w:id="1544"/>
      <w:bookmarkEnd w:id="1545"/>
      <w:bookmarkEnd w:id="1546"/>
      <w:bookmarkEnd w:id="1547"/>
      <w:bookmarkEnd w:id="1548"/>
    </w:p>
    <w:p>
      <w:pPr>
        <w:ind w:firstLine="480"/>
        <w:rPr>
          <w:rFonts w:ascii="宋体" w:hAnsi="宋体" w:cs="宋体"/>
          <w:sz w:val="24"/>
        </w:rPr>
      </w:pPr>
      <w:r>
        <w:rPr>
          <w:rFonts w:hint="eastAsia" w:ascii="宋体" w:hAnsi="宋体" w:cs="宋体"/>
          <w:sz w:val="24"/>
        </w:rPr>
        <w:t>一、投诉相关主体基本情况</w:t>
      </w:r>
    </w:p>
    <w:p>
      <w:pPr>
        <w:ind w:firstLine="480"/>
        <w:rPr>
          <w:rFonts w:ascii="宋体" w:hAnsi="宋体" w:cs="宋体"/>
          <w:sz w:val="24"/>
        </w:rPr>
      </w:pPr>
      <w:r>
        <w:rPr>
          <w:rFonts w:hint="eastAsia" w:ascii="宋体" w:hAnsi="宋体" w:cs="宋体"/>
          <w:sz w:val="24"/>
        </w:rPr>
        <w:t>投诉人：____________________</w:t>
      </w:r>
    </w:p>
    <w:p>
      <w:pPr>
        <w:ind w:firstLine="480"/>
        <w:rPr>
          <w:rFonts w:ascii="宋体" w:hAnsi="宋体" w:cs="宋体"/>
          <w:sz w:val="24"/>
        </w:rPr>
      </w:pPr>
      <w:r>
        <w:rPr>
          <w:rFonts w:hint="eastAsia" w:ascii="宋体" w:hAnsi="宋体" w:cs="宋体"/>
          <w:sz w:val="24"/>
        </w:rPr>
        <w:t>地 址：____________________邮编：____________________</w:t>
      </w:r>
    </w:p>
    <w:p>
      <w:pPr>
        <w:ind w:firstLine="480"/>
        <w:rPr>
          <w:rFonts w:ascii="宋体" w:hAnsi="宋体" w:cs="宋体"/>
          <w:sz w:val="24"/>
        </w:rPr>
      </w:pPr>
      <w:r>
        <w:rPr>
          <w:rFonts w:hint="eastAsia" w:ascii="宋体" w:hAnsi="宋体" w:cs="宋体"/>
          <w:sz w:val="24"/>
        </w:rPr>
        <w:t>法定代表人/主要负责人：____________________</w:t>
      </w:r>
    </w:p>
    <w:p>
      <w:pPr>
        <w:ind w:firstLine="480"/>
        <w:rPr>
          <w:rFonts w:ascii="宋体" w:hAnsi="宋体" w:cs="宋体"/>
          <w:sz w:val="24"/>
        </w:rPr>
      </w:pPr>
      <w:r>
        <w:rPr>
          <w:rFonts w:hint="eastAsia" w:ascii="宋体" w:hAnsi="宋体" w:cs="宋体"/>
          <w:sz w:val="24"/>
        </w:rPr>
        <w:t>联系电话：____________________</w:t>
      </w:r>
    </w:p>
    <w:p>
      <w:pPr>
        <w:ind w:firstLine="480"/>
        <w:rPr>
          <w:rFonts w:ascii="宋体" w:hAnsi="宋体" w:cs="宋体"/>
          <w:sz w:val="24"/>
        </w:rPr>
      </w:pPr>
      <w:r>
        <w:rPr>
          <w:rFonts w:hint="eastAsia" w:ascii="宋体" w:hAnsi="宋体" w:cs="宋体"/>
          <w:sz w:val="24"/>
        </w:rPr>
        <w:t>授权代表：____________________联系电话：____________________</w:t>
      </w:r>
    </w:p>
    <w:p>
      <w:pPr>
        <w:ind w:firstLine="480"/>
        <w:rPr>
          <w:rFonts w:ascii="宋体" w:hAnsi="宋体" w:cs="宋体"/>
          <w:sz w:val="24"/>
        </w:rPr>
      </w:pPr>
      <w:r>
        <w:rPr>
          <w:rFonts w:hint="eastAsia" w:ascii="宋体" w:hAnsi="宋体" w:cs="宋体"/>
          <w:sz w:val="24"/>
        </w:rPr>
        <w:t>地 址：____________________邮编：____________________</w:t>
      </w:r>
    </w:p>
    <w:p>
      <w:pPr>
        <w:ind w:firstLine="480"/>
        <w:rPr>
          <w:rFonts w:ascii="宋体" w:hAnsi="宋体" w:cs="宋体"/>
          <w:sz w:val="24"/>
        </w:rPr>
      </w:pPr>
      <w:r>
        <w:rPr>
          <w:rFonts w:hint="eastAsia" w:ascii="宋体" w:hAnsi="宋体" w:cs="宋体"/>
          <w:sz w:val="24"/>
        </w:rPr>
        <w:t>被投诉人1：____________________</w:t>
      </w:r>
    </w:p>
    <w:p>
      <w:pPr>
        <w:ind w:firstLine="480"/>
        <w:rPr>
          <w:rFonts w:ascii="宋体" w:hAnsi="宋体" w:cs="宋体"/>
          <w:sz w:val="24"/>
        </w:rPr>
      </w:pPr>
      <w:r>
        <w:rPr>
          <w:rFonts w:hint="eastAsia" w:ascii="宋体" w:hAnsi="宋体" w:cs="宋体"/>
          <w:sz w:val="24"/>
        </w:rPr>
        <w:t>地址：____________________邮编：____________________</w:t>
      </w:r>
    </w:p>
    <w:p>
      <w:pPr>
        <w:ind w:firstLine="480"/>
        <w:rPr>
          <w:rFonts w:ascii="宋体" w:hAnsi="宋体" w:cs="宋体"/>
          <w:sz w:val="24"/>
        </w:rPr>
      </w:pPr>
      <w:r>
        <w:rPr>
          <w:rFonts w:hint="eastAsia" w:ascii="宋体" w:hAnsi="宋体" w:cs="宋体"/>
          <w:sz w:val="24"/>
        </w:rPr>
        <w:t>联系人：____________________联系电话：____________________</w:t>
      </w:r>
    </w:p>
    <w:p>
      <w:pPr>
        <w:ind w:firstLine="480"/>
        <w:rPr>
          <w:rFonts w:ascii="宋体" w:hAnsi="宋体" w:cs="宋体"/>
          <w:sz w:val="24"/>
        </w:rPr>
      </w:pPr>
      <w:r>
        <w:rPr>
          <w:rFonts w:hint="eastAsia" w:ascii="宋体" w:hAnsi="宋体" w:cs="宋体"/>
          <w:sz w:val="24"/>
        </w:rPr>
        <w:t>被投诉人2：____________________</w:t>
      </w:r>
    </w:p>
    <w:p>
      <w:pPr>
        <w:ind w:firstLine="480"/>
        <w:rPr>
          <w:rFonts w:ascii="宋体" w:hAnsi="宋体" w:cs="宋体"/>
          <w:sz w:val="24"/>
        </w:rPr>
      </w:pPr>
      <w:r>
        <w:rPr>
          <w:rFonts w:hint="eastAsia" w:ascii="宋体" w:hAnsi="宋体" w:cs="宋体"/>
          <w:sz w:val="24"/>
        </w:rPr>
        <w:t>……</w:t>
      </w:r>
    </w:p>
    <w:p>
      <w:pPr>
        <w:ind w:firstLine="480"/>
        <w:rPr>
          <w:rFonts w:ascii="宋体" w:hAnsi="宋体" w:cs="宋体"/>
          <w:sz w:val="24"/>
        </w:rPr>
      </w:pPr>
      <w:r>
        <w:rPr>
          <w:rFonts w:hint="eastAsia" w:ascii="宋体" w:hAnsi="宋体" w:cs="宋体"/>
          <w:sz w:val="24"/>
        </w:rPr>
        <w:t>相关供应商：_____________________</w:t>
      </w:r>
    </w:p>
    <w:p>
      <w:pPr>
        <w:ind w:firstLine="480"/>
        <w:rPr>
          <w:rFonts w:ascii="宋体" w:hAnsi="宋体" w:cs="宋体"/>
          <w:sz w:val="24"/>
        </w:rPr>
      </w:pPr>
      <w:r>
        <w:rPr>
          <w:rFonts w:hint="eastAsia" w:ascii="宋体" w:hAnsi="宋体" w:cs="宋体"/>
          <w:sz w:val="24"/>
        </w:rPr>
        <w:t>地址：____________________邮编：____________________</w:t>
      </w:r>
    </w:p>
    <w:p>
      <w:pPr>
        <w:ind w:firstLine="480"/>
        <w:rPr>
          <w:rFonts w:ascii="宋体" w:hAnsi="宋体" w:cs="宋体"/>
          <w:sz w:val="24"/>
        </w:rPr>
      </w:pPr>
      <w:r>
        <w:rPr>
          <w:rFonts w:hint="eastAsia" w:ascii="宋体" w:hAnsi="宋体" w:cs="宋体"/>
          <w:sz w:val="24"/>
        </w:rPr>
        <w:t>联系人：____________________联系电话：____________________</w:t>
      </w:r>
    </w:p>
    <w:p>
      <w:pPr>
        <w:ind w:firstLine="480"/>
        <w:rPr>
          <w:rFonts w:ascii="宋体" w:hAnsi="宋体" w:cs="宋体"/>
          <w:sz w:val="24"/>
        </w:rPr>
      </w:pPr>
      <w:r>
        <w:rPr>
          <w:rFonts w:hint="eastAsia" w:ascii="宋体" w:hAnsi="宋体" w:cs="宋体"/>
          <w:sz w:val="24"/>
        </w:rPr>
        <w:t>二、投诉项目基本情况</w:t>
      </w:r>
    </w:p>
    <w:p>
      <w:pPr>
        <w:ind w:firstLine="480"/>
        <w:rPr>
          <w:rFonts w:ascii="宋体" w:hAnsi="宋体" w:cs="宋体"/>
          <w:sz w:val="24"/>
        </w:rPr>
      </w:pPr>
      <w:r>
        <w:rPr>
          <w:rFonts w:hint="eastAsia" w:ascii="宋体" w:hAnsi="宋体" w:cs="宋体"/>
          <w:sz w:val="24"/>
        </w:rPr>
        <w:t>采购项目名称：____________________</w:t>
      </w:r>
    </w:p>
    <w:p>
      <w:pPr>
        <w:ind w:firstLine="480"/>
        <w:rPr>
          <w:rFonts w:ascii="宋体" w:hAnsi="宋体" w:cs="宋体"/>
          <w:sz w:val="24"/>
        </w:rPr>
      </w:pPr>
      <w:r>
        <w:rPr>
          <w:rFonts w:hint="eastAsia" w:ascii="宋体" w:hAnsi="宋体" w:cs="宋体"/>
          <w:sz w:val="24"/>
          <w:lang w:eastAsia="zh-CN"/>
        </w:rPr>
        <w:t>采购项目编号：</w:t>
      </w:r>
      <w:r>
        <w:rPr>
          <w:rFonts w:hint="eastAsia" w:ascii="宋体" w:hAnsi="宋体" w:cs="宋体"/>
          <w:sz w:val="24"/>
          <w:u w:val="single"/>
          <w:lang w:val="en-US" w:eastAsia="zh-CN"/>
        </w:rPr>
        <w:t xml:space="preserve"> fsganb202404005</w:t>
      </w:r>
      <w:r>
        <w:rPr>
          <w:rFonts w:hint="eastAsia" w:ascii="宋体" w:hAnsi="宋体" w:cs="宋体"/>
          <w:sz w:val="24"/>
          <w:u w:val="single"/>
        </w:rPr>
        <w:t xml:space="preserve"> </w:t>
      </w:r>
      <w:r>
        <w:rPr>
          <w:rFonts w:hint="eastAsia" w:ascii="宋体" w:hAnsi="宋体" w:cs="宋体"/>
          <w:sz w:val="24"/>
        </w:rPr>
        <w:t>包号：____________________</w:t>
      </w:r>
    </w:p>
    <w:p>
      <w:pPr>
        <w:ind w:firstLine="480"/>
        <w:rPr>
          <w:rFonts w:ascii="宋体" w:hAnsi="宋体" w:cs="宋体"/>
          <w:sz w:val="24"/>
        </w:rPr>
      </w:pPr>
      <w:r>
        <w:rPr>
          <w:rFonts w:hint="eastAsia" w:ascii="宋体" w:hAnsi="宋体" w:cs="宋体"/>
          <w:sz w:val="24"/>
        </w:rPr>
        <w:t>采购人名称：____________________</w:t>
      </w:r>
    </w:p>
    <w:p>
      <w:pPr>
        <w:ind w:firstLine="480"/>
        <w:rPr>
          <w:rFonts w:ascii="宋体" w:hAnsi="宋体" w:cs="宋体"/>
          <w:sz w:val="24"/>
        </w:rPr>
      </w:pPr>
      <w:r>
        <w:rPr>
          <w:rFonts w:hint="eastAsia" w:ascii="宋体" w:hAnsi="宋体" w:cs="宋体"/>
          <w:sz w:val="24"/>
        </w:rPr>
        <w:t>代理机构名称：____________________</w:t>
      </w:r>
    </w:p>
    <w:p>
      <w:pPr>
        <w:ind w:firstLine="480"/>
        <w:rPr>
          <w:rFonts w:ascii="宋体" w:hAnsi="宋体" w:cs="宋体"/>
          <w:sz w:val="24"/>
        </w:rPr>
      </w:pPr>
      <w:r>
        <w:rPr>
          <w:rFonts w:hint="eastAsia" w:ascii="宋体" w:hAnsi="宋体" w:cs="宋体"/>
          <w:sz w:val="24"/>
        </w:rPr>
        <w:t>采购文件公告:</w:t>
      </w:r>
      <w:r>
        <w:rPr>
          <w:rFonts w:hint="eastAsia" w:ascii="宋体" w:hAnsi="宋体" w:cs="宋体"/>
          <w:sz w:val="24"/>
          <w:u w:val="single"/>
        </w:rPr>
        <w:t>是/否</w:t>
      </w:r>
      <w:r>
        <w:rPr>
          <w:rFonts w:hint="eastAsia" w:ascii="宋体" w:hAnsi="宋体" w:cs="宋体"/>
          <w:sz w:val="24"/>
        </w:rPr>
        <w:t>公告期限：_____________________</w:t>
      </w:r>
    </w:p>
    <w:p>
      <w:pPr>
        <w:ind w:firstLine="480"/>
        <w:rPr>
          <w:rFonts w:ascii="宋体" w:hAnsi="宋体" w:cs="宋体"/>
          <w:sz w:val="24"/>
        </w:rPr>
      </w:pPr>
      <w:r>
        <w:rPr>
          <w:rFonts w:hint="eastAsia" w:ascii="宋体" w:hAnsi="宋体" w:cs="宋体"/>
          <w:sz w:val="24"/>
        </w:rPr>
        <w:t>采购结果公告:</w:t>
      </w:r>
      <w:r>
        <w:rPr>
          <w:rFonts w:hint="eastAsia" w:ascii="宋体" w:hAnsi="宋体" w:cs="宋体"/>
          <w:sz w:val="24"/>
          <w:u w:val="single"/>
        </w:rPr>
        <w:t>是/否</w:t>
      </w:r>
      <w:r>
        <w:rPr>
          <w:rFonts w:hint="eastAsia" w:ascii="宋体" w:hAnsi="宋体" w:cs="宋体"/>
          <w:sz w:val="24"/>
        </w:rPr>
        <w:t>公告期限：_____________________</w:t>
      </w:r>
    </w:p>
    <w:p>
      <w:pPr>
        <w:ind w:firstLine="480"/>
        <w:rPr>
          <w:rFonts w:ascii="宋体" w:hAnsi="宋体" w:cs="宋体"/>
          <w:sz w:val="24"/>
        </w:rPr>
      </w:pPr>
      <w:r>
        <w:rPr>
          <w:rFonts w:hint="eastAsia" w:ascii="宋体" w:hAnsi="宋体" w:cs="宋体"/>
          <w:sz w:val="24"/>
        </w:rPr>
        <w:t>三、质疑基本情况</w:t>
      </w:r>
    </w:p>
    <w:p>
      <w:pPr>
        <w:ind w:firstLine="480"/>
        <w:rPr>
          <w:rFonts w:ascii="宋体" w:hAnsi="宋体" w:cs="宋体"/>
          <w:sz w:val="24"/>
        </w:rPr>
      </w:pPr>
      <w:r>
        <w:rPr>
          <w:rFonts w:hint="eastAsia" w:ascii="宋体" w:hAnsi="宋体" w:cs="宋体"/>
          <w:sz w:val="24"/>
        </w:rPr>
        <w:t>投诉人于 ____年____月____日,向提出质疑，质疑事项为：_____________________</w:t>
      </w:r>
    </w:p>
    <w:p>
      <w:pPr>
        <w:ind w:firstLine="480"/>
        <w:rPr>
          <w:rFonts w:ascii="宋体" w:hAnsi="宋体" w:cs="宋体"/>
          <w:sz w:val="24"/>
        </w:rPr>
      </w:pPr>
      <w:r>
        <w:rPr>
          <w:rFonts w:hint="eastAsia" w:ascii="宋体" w:hAnsi="宋体" w:cs="宋体"/>
          <w:sz w:val="24"/>
          <w:u w:val="single"/>
        </w:rPr>
        <w:t>采购人/代理机构</w:t>
      </w:r>
      <w:r>
        <w:rPr>
          <w:rFonts w:hint="eastAsia" w:ascii="宋体" w:hAnsi="宋体" w:cs="宋体"/>
          <w:sz w:val="24"/>
        </w:rPr>
        <w:t>于____年____月____日,就质疑事项作出了答复/没有在法定期限内作出答复。</w:t>
      </w:r>
    </w:p>
    <w:p>
      <w:pPr>
        <w:ind w:firstLine="480"/>
        <w:rPr>
          <w:rFonts w:ascii="宋体" w:hAnsi="宋体" w:cs="宋体"/>
          <w:sz w:val="24"/>
        </w:rPr>
      </w:pPr>
      <w:r>
        <w:rPr>
          <w:rFonts w:hint="eastAsia" w:ascii="宋体" w:hAnsi="宋体" w:cs="宋体"/>
          <w:sz w:val="24"/>
        </w:rPr>
        <w:t>四、投诉事项具体内容</w:t>
      </w:r>
    </w:p>
    <w:p>
      <w:pPr>
        <w:ind w:firstLine="480"/>
        <w:rPr>
          <w:rFonts w:ascii="宋体" w:hAnsi="宋体" w:cs="宋体"/>
          <w:sz w:val="24"/>
        </w:rPr>
      </w:pPr>
      <w:r>
        <w:rPr>
          <w:rFonts w:hint="eastAsia" w:ascii="宋体" w:hAnsi="宋体" w:cs="宋体"/>
          <w:sz w:val="24"/>
        </w:rPr>
        <w:t>投诉事项 1：_____________________</w:t>
      </w:r>
    </w:p>
    <w:p>
      <w:pPr>
        <w:ind w:firstLine="480"/>
        <w:rPr>
          <w:rFonts w:ascii="宋体" w:hAnsi="宋体" w:cs="宋体"/>
          <w:sz w:val="24"/>
        </w:rPr>
      </w:pPr>
      <w:r>
        <w:rPr>
          <w:rFonts w:hint="eastAsia" w:ascii="宋体" w:hAnsi="宋体" w:cs="宋体"/>
          <w:sz w:val="24"/>
        </w:rPr>
        <w:t>事实依据：_____________________</w:t>
      </w:r>
    </w:p>
    <w:p>
      <w:pPr>
        <w:ind w:firstLine="480"/>
        <w:rPr>
          <w:rFonts w:ascii="宋体" w:hAnsi="宋体" w:cs="宋体"/>
          <w:sz w:val="24"/>
        </w:rPr>
      </w:pPr>
      <w:r>
        <w:rPr>
          <w:rFonts w:hint="eastAsia" w:ascii="宋体" w:hAnsi="宋体" w:cs="宋体"/>
          <w:sz w:val="24"/>
        </w:rPr>
        <w:t>法律依据：_____________________</w:t>
      </w:r>
    </w:p>
    <w:p>
      <w:pPr>
        <w:ind w:firstLine="480"/>
        <w:rPr>
          <w:rFonts w:ascii="宋体" w:hAnsi="宋体" w:cs="宋体"/>
          <w:sz w:val="24"/>
        </w:rPr>
      </w:pPr>
      <w:r>
        <w:rPr>
          <w:rFonts w:hint="eastAsia" w:ascii="宋体" w:hAnsi="宋体" w:cs="宋体"/>
          <w:sz w:val="24"/>
        </w:rPr>
        <w:t>投诉事项2：_____________________</w:t>
      </w:r>
    </w:p>
    <w:p>
      <w:pPr>
        <w:ind w:firstLine="480"/>
        <w:rPr>
          <w:rFonts w:ascii="宋体" w:hAnsi="宋体" w:cs="宋体"/>
          <w:sz w:val="24"/>
        </w:rPr>
      </w:pPr>
      <w:r>
        <w:rPr>
          <w:rFonts w:hint="eastAsia" w:ascii="宋体" w:hAnsi="宋体" w:cs="宋体"/>
          <w:sz w:val="24"/>
        </w:rPr>
        <w:t>……</w:t>
      </w:r>
    </w:p>
    <w:p>
      <w:pPr>
        <w:ind w:firstLine="480"/>
        <w:rPr>
          <w:rFonts w:ascii="宋体" w:hAnsi="宋体" w:cs="宋体"/>
          <w:sz w:val="24"/>
        </w:rPr>
      </w:pPr>
      <w:r>
        <w:rPr>
          <w:rFonts w:hint="eastAsia" w:ascii="宋体" w:hAnsi="宋体" w:cs="宋体"/>
          <w:sz w:val="24"/>
        </w:rPr>
        <w:t>五、与投诉事项相关的投诉请求</w:t>
      </w:r>
    </w:p>
    <w:p>
      <w:pPr>
        <w:ind w:firstLine="480"/>
        <w:rPr>
          <w:rFonts w:ascii="宋体" w:hAnsi="宋体" w:cs="宋体"/>
          <w:sz w:val="24"/>
        </w:rPr>
      </w:pPr>
      <w:r>
        <w:rPr>
          <w:rFonts w:hint="eastAsia" w:ascii="宋体" w:hAnsi="宋体" w:cs="宋体"/>
          <w:sz w:val="24"/>
        </w:rPr>
        <w:t>请求：________________________</w:t>
      </w:r>
    </w:p>
    <w:p>
      <w:pPr>
        <w:ind w:firstLine="480"/>
        <w:rPr>
          <w:rFonts w:ascii="宋体" w:hAnsi="宋体" w:cs="宋体"/>
        </w:rPr>
      </w:pPr>
    </w:p>
    <w:p>
      <w:pPr>
        <w:jc w:val="right"/>
        <w:rPr>
          <w:rFonts w:ascii="宋体" w:hAnsi="宋体" w:cs="宋体"/>
        </w:rPr>
      </w:pPr>
      <w:r>
        <w:rPr>
          <w:rFonts w:hint="eastAsia" w:ascii="宋体" w:hAnsi="宋体" w:cs="宋体"/>
        </w:rPr>
        <w:t xml:space="preserve"> 签字(签章)： ________公章________</w:t>
      </w:r>
    </w:p>
    <w:p>
      <w:pPr>
        <w:jc w:val="right"/>
        <w:rPr>
          <w:rFonts w:ascii="宋体" w:hAnsi="宋体" w:cs="宋体"/>
        </w:rPr>
      </w:pPr>
      <w:r>
        <w:rPr>
          <w:rFonts w:hint="eastAsia" w:ascii="宋体" w:hAnsi="宋体" w:cs="宋体"/>
        </w:rPr>
        <w:t>日期：____年____月____日</w:t>
      </w:r>
    </w:p>
    <w:p>
      <w:pPr>
        <w:spacing w:line="264" w:lineRule="auto"/>
        <w:ind w:firstLine="420" w:firstLineChars="200"/>
        <w:jc w:val="left"/>
        <w:rPr>
          <w:rFonts w:ascii="宋体" w:hAnsi="宋体" w:cs="宋体"/>
          <w:szCs w:val="21"/>
        </w:rPr>
      </w:pPr>
      <w:r>
        <w:rPr>
          <w:rFonts w:hint="eastAsia" w:ascii="宋体" w:hAnsi="宋体" w:cs="宋体"/>
          <w:szCs w:val="21"/>
        </w:rPr>
        <w:t>投诉书制作说明：</w:t>
      </w:r>
    </w:p>
    <w:p>
      <w:pPr>
        <w:spacing w:line="264" w:lineRule="auto"/>
        <w:ind w:firstLine="420" w:firstLineChars="200"/>
        <w:jc w:val="left"/>
        <w:rPr>
          <w:rFonts w:ascii="宋体" w:hAnsi="宋体" w:cs="宋体"/>
          <w:szCs w:val="21"/>
        </w:rPr>
      </w:pPr>
      <w:r>
        <w:rPr>
          <w:rFonts w:hint="eastAsia" w:ascii="宋体" w:hAnsi="宋体" w:cs="宋体"/>
          <w:szCs w:val="21"/>
        </w:rPr>
        <w:t>1.投诉人提起投诉时，应当提交投诉书和必要的证明材料，并按照被投诉人和与投诉事项有关的供应商数量提供投诉书副本。</w:t>
      </w:r>
    </w:p>
    <w:p>
      <w:pPr>
        <w:spacing w:line="264" w:lineRule="auto"/>
        <w:ind w:firstLine="420" w:firstLineChars="200"/>
        <w:jc w:val="left"/>
        <w:rPr>
          <w:rFonts w:ascii="宋体" w:hAnsi="宋体" w:cs="宋体"/>
          <w:szCs w:val="21"/>
        </w:rPr>
      </w:pPr>
      <w:r>
        <w:rPr>
          <w:rFonts w:hint="eastAsia" w:ascii="宋体" w:hAnsi="宋体" w:cs="宋体"/>
          <w:szCs w:val="21"/>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spacing w:line="264" w:lineRule="auto"/>
        <w:ind w:firstLine="420" w:firstLineChars="200"/>
        <w:jc w:val="left"/>
        <w:rPr>
          <w:rFonts w:ascii="宋体" w:hAnsi="宋体" w:cs="宋体"/>
          <w:szCs w:val="21"/>
        </w:rPr>
      </w:pPr>
      <w:r>
        <w:rPr>
          <w:rFonts w:hint="eastAsia" w:ascii="宋体" w:hAnsi="宋体" w:cs="宋体"/>
          <w:szCs w:val="21"/>
        </w:rPr>
        <w:t>3.投诉人若对项目的某一分包进行投诉，投诉书应列明具体分包号。</w:t>
      </w:r>
    </w:p>
    <w:p>
      <w:pPr>
        <w:spacing w:line="264" w:lineRule="auto"/>
        <w:ind w:firstLine="420" w:firstLineChars="200"/>
        <w:jc w:val="left"/>
        <w:rPr>
          <w:rFonts w:ascii="宋体" w:hAnsi="宋体" w:cs="宋体"/>
          <w:szCs w:val="21"/>
        </w:rPr>
      </w:pPr>
      <w:r>
        <w:rPr>
          <w:rFonts w:hint="eastAsia" w:ascii="宋体" w:hAnsi="宋体" w:cs="宋体"/>
          <w:szCs w:val="21"/>
        </w:rPr>
        <w:t>4.投诉书应简要列明质疑事项，质疑函、质疑答复等作为附件材料提供。</w:t>
      </w:r>
    </w:p>
    <w:p>
      <w:pPr>
        <w:spacing w:line="264" w:lineRule="auto"/>
        <w:ind w:firstLine="420" w:firstLineChars="200"/>
        <w:jc w:val="left"/>
        <w:rPr>
          <w:rFonts w:ascii="宋体" w:hAnsi="宋体" w:cs="宋体"/>
          <w:szCs w:val="21"/>
        </w:rPr>
      </w:pPr>
      <w:r>
        <w:rPr>
          <w:rFonts w:hint="eastAsia" w:ascii="宋体" w:hAnsi="宋体" w:cs="宋体"/>
          <w:szCs w:val="21"/>
        </w:rPr>
        <w:t>5.投诉书的投诉事项应具体、明确，并有必要的事实依据和法律依据。</w:t>
      </w:r>
    </w:p>
    <w:p>
      <w:pPr>
        <w:spacing w:line="264" w:lineRule="auto"/>
        <w:ind w:firstLine="420" w:firstLineChars="200"/>
        <w:jc w:val="left"/>
        <w:rPr>
          <w:rFonts w:ascii="宋体" w:hAnsi="宋体" w:cs="宋体"/>
          <w:szCs w:val="21"/>
        </w:rPr>
      </w:pPr>
      <w:r>
        <w:rPr>
          <w:rFonts w:hint="eastAsia" w:ascii="宋体" w:hAnsi="宋体" w:cs="宋体"/>
          <w:szCs w:val="21"/>
        </w:rPr>
        <w:t>6.投诉书的投诉请求应与投诉事项相关。</w:t>
      </w:r>
    </w:p>
    <w:p>
      <w:pPr>
        <w:spacing w:line="264" w:lineRule="auto"/>
        <w:ind w:firstLine="420" w:firstLineChars="200"/>
        <w:jc w:val="left"/>
        <w:rPr>
          <w:rFonts w:ascii="宋体" w:hAnsi="宋体" w:cs="宋体"/>
          <w:szCs w:val="21"/>
        </w:rPr>
      </w:pPr>
      <w:r>
        <w:rPr>
          <w:rFonts w:hint="eastAsia" w:ascii="宋体" w:hAnsi="宋体" w:cs="宋体"/>
          <w:szCs w:val="21"/>
        </w:rPr>
        <w:t>7.投诉人为自然人的，投诉书应当由本人签字；投诉人为法人或者其他组织的，投诉书应当由法定代表人、主要负责人，或者其授权代表签字或者盖章，并加盖公章。</w:t>
      </w:r>
    </w:p>
    <w:p>
      <w:pPr>
        <w:pStyle w:val="23"/>
        <w:ind w:firstLine="210"/>
      </w:pPr>
    </w:p>
    <w:p>
      <w:pPr>
        <w:pStyle w:val="4"/>
        <w:pageBreakBefore/>
        <w:spacing w:after="156"/>
        <w:ind w:left="-6"/>
        <w:rPr>
          <w:rFonts w:ascii="黑体" w:eastAsia="黑体"/>
          <w:b w:val="0"/>
          <w:bCs/>
          <w:color w:val="auto"/>
          <w:sz w:val="32"/>
          <w:szCs w:val="18"/>
        </w:rPr>
      </w:pPr>
      <w:bookmarkStart w:id="1549" w:name="_Toc19547"/>
      <w:bookmarkStart w:id="1550" w:name="_Toc19745"/>
      <w:bookmarkStart w:id="1551" w:name="_Toc25443"/>
      <w:bookmarkStart w:id="1552" w:name="_Toc21358"/>
      <w:bookmarkStart w:id="1553" w:name="_Toc29543"/>
      <w:r>
        <w:rPr>
          <w:rFonts w:hint="eastAsia" w:ascii="黑体" w:eastAsia="黑体"/>
          <w:b w:val="0"/>
          <w:bCs/>
          <w:color w:val="auto"/>
          <w:sz w:val="32"/>
          <w:szCs w:val="18"/>
        </w:rPr>
        <w:t>附件五：文件包装袋封面标贴格式</w:t>
      </w:r>
      <w:bookmarkEnd w:id="1531"/>
      <w:bookmarkEnd w:id="1532"/>
      <w:bookmarkEnd w:id="1533"/>
      <w:bookmarkEnd w:id="1534"/>
      <w:bookmarkEnd w:id="1535"/>
      <w:bookmarkEnd w:id="1536"/>
      <w:bookmarkEnd w:id="1537"/>
      <w:bookmarkEnd w:id="1538"/>
      <w:bookmarkEnd w:id="1549"/>
      <w:bookmarkEnd w:id="1550"/>
      <w:bookmarkEnd w:id="1551"/>
      <w:bookmarkEnd w:id="1552"/>
      <w:bookmarkEnd w:id="1553"/>
    </w:p>
    <w:tbl>
      <w:tblPr>
        <w:tblStyle w:val="24"/>
        <w:tblW w:w="9149" w:type="dxa"/>
        <w:jc w:val="center"/>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99CCFF"/>
        <w:tblLayout w:type="fixed"/>
        <w:tblCellMar>
          <w:top w:w="0" w:type="dxa"/>
          <w:left w:w="108" w:type="dxa"/>
          <w:bottom w:w="0" w:type="dxa"/>
          <w:right w:w="108" w:type="dxa"/>
        </w:tblCellMar>
      </w:tblPr>
      <w:tblGrid>
        <w:gridCol w:w="9149"/>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99CCFF"/>
          <w:tblCellMar>
            <w:top w:w="0" w:type="dxa"/>
            <w:left w:w="108" w:type="dxa"/>
            <w:bottom w:w="0" w:type="dxa"/>
            <w:right w:w="108" w:type="dxa"/>
          </w:tblCellMar>
        </w:tblPrEx>
        <w:trPr>
          <w:trHeight w:val="5855" w:hRule="atLeast"/>
          <w:jc w:val="center"/>
        </w:trPr>
        <w:tc>
          <w:tcPr>
            <w:tcW w:w="9149" w:type="dxa"/>
            <w:shd w:val="clear" w:color="auto" w:fill="99CCFF"/>
          </w:tcPr>
          <w:p>
            <w:pPr>
              <w:snapToGrid w:val="0"/>
              <w:jc w:val="center"/>
              <w:rPr>
                <w:b/>
                <w:sz w:val="30"/>
              </w:rPr>
            </w:pPr>
          </w:p>
          <w:p>
            <w:pPr>
              <w:pStyle w:val="11"/>
              <w:spacing w:line="360" w:lineRule="auto"/>
              <w:jc w:val="center"/>
              <w:rPr>
                <w:rFonts w:ascii="华文中宋" w:hAnsi="华文中宋" w:eastAsia="华文中宋"/>
                <w:b/>
                <w:bCs/>
                <w:kern w:val="2"/>
                <w:sz w:val="48"/>
              </w:rPr>
            </w:pPr>
            <w:r>
              <w:rPr>
                <w:rFonts w:hint="eastAsia" w:cs="宋体"/>
                <w:b/>
                <w:bCs/>
                <w:kern w:val="2"/>
                <w:sz w:val="48"/>
              </w:rPr>
              <w:t>采购项目响应文件</w:t>
            </w:r>
          </w:p>
          <w:p>
            <w:pPr>
              <w:spacing w:line="360" w:lineRule="auto"/>
              <w:jc w:val="center"/>
              <w:rPr>
                <w:rFonts w:ascii="黑体" w:eastAsia="黑体"/>
                <w:b/>
                <w:bCs/>
                <w:sz w:val="24"/>
              </w:rPr>
            </w:pPr>
            <w:r>
              <w:rPr>
                <w:rFonts w:hint="eastAsia" w:ascii="黑体" w:eastAsia="黑体"/>
                <w:b/>
                <w:bCs/>
                <w:sz w:val="24"/>
              </w:rPr>
              <w:t>密封内容：</w:t>
            </w:r>
            <w:r>
              <w:rPr>
                <w:rFonts w:hint="eastAsia"/>
                <w:sz w:val="24"/>
              </w:rPr>
              <w:t>□</w:t>
            </w:r>
            <w:r>
              <w:rPr>
                <w:rFonts w:hint="eastAsia" w:ascii="黑体" w:eastAsia="黑体"/>
                <w:b/>
                <w:bCs/>
                <w:sz w:val="24"/>
              </w:rPr>
              <w:t xml:space="preserve">报价信封 / </w:t>
            </w:r>
            <w:r>
              <w:rPr>
                <w:rFonts w:hint="eastAsia"/>
                <w:sz w:val="24"/>
              </w:rPr>
              <w:t>□</w:t>
            </w:r>
            <w:r>
              <w:rPr>
                <w:rFonts w:hint="eastAsia" w:ascii="黑体" w:eastAsia="黑体"/>
                <w:b/>
                <w:bCs/>
                <w:sz w:val="24"/>
              </w:rPr>
              <w:t>正、副本响应文件</w:t>
            </w:r>
          </w:p>
          <w:p>
            <w:pPr>
              <w:jc w:val="center"/>
              <w:rPr>
                <w:rFonts w:ascii="黑体" w:eastAsia="黑体"/>
                <w:b/>
                <w:sz w:val="11"/>
                <w:szCs w:val="11"/>
              </w:rPr>
            </w:pPr>
          </w:p>
          <w:p>
            <w:pPr>
              <w:spacing w:line="360" w:lineRule="auto"/>
              <w:ind w:left="176" w:leftChars="84" w:firstLine="964" w:firstLineChars="400"/>
              <w:rPr>
                <w:rFonts w:ascii="黑体" w:eastAsia="黑体"/>
                <w:b/>
                <w:bCs/>
                <w:sz w:val="24"/>
                <w:u w:val="single"/>
              </w:rPr>
            </w:pPr>
            <w:r>
              <w:rPr>
                <w:rFonts w:hint="eastAsia" w:ascii="黑体" w:eastAsia="黑体"/>
                <w:b/>
                <w:bCs/>
                <w:sz w:val="24"/>
              </w:rPr>
              <w:t>供应商名称：</w:t>
            </w:r>
          </w:p>
          <w:p>
            <w:pPr>
              <w:spacing w:line="360" w:lineRule="auto"/>
              <w:ind w:left="176" w:leftChars="84" w:firstLine="960" w:firstLineChars="400"/>
              <w:rPr>
                <w:rFonts w:hint="eastAsia" w:eastAsia="黑体"/>
                <w:b/>
                <w:bCs/>
                <w:sz w:val="24"/>
                <w:lang w:eastAsia="zh-CN"/>
              </w:rPr>
            </w:pPr>
            <w:r>
              <w:rPr>
                <w:rFonts w:hint="eastAsia" w:ascii="黑体" w:eastAsia="黑体"/>
                <w:sz w:val="24"/>
                <w:lang w:eastAsia="zh-CN"/>
              </w:rPr>
              <w:t>项目编号：fsganb202404005</w:t>
            </w:r>
          </w:p>
          <w:p>
            <w:pPr>
              <w:spacing w:line="360" w:lineRule="auto"/>
              <w:ind w:left="2334" w:leftChars="540" w:hanging="1200" w:hangingChars="500"/>
              <w:rPr>
                <w:rFonts w:ascii="黑体" w:eastAsia="黑体"/>
                <w:sz w:val="24"/>
                <w:u w:val="single"/>
              </w:rPr>
            </w:pPr>
            <w:r>
              <w:rPr>
                <w:rFonts w:hint="eastAsia" w:ascii="黑体" w:hAnsi="Times New Roman" w:eastAsia="黑体" w:cs="Times New Roman"/>
                <w:sz w:val="24"/>
                <w:lang w:eastAsia="zh-CN"/>
              </w:rPr>
              <w:t>项目名称：</w:t>
            </w:r>
            <w:r>
              <w:rPr>
                <w:rFonts w:hint="eastAsia" w:ascii="黑体" w:eastAsia="黑体" w:cs="Times New Roman"/>
                <w:sz w:val="24"/>
                <w:u w:val="single"/>
                <w:lang w:eastAsia="zh-CN"/>
              </w:rPr>
              <w:t>佛山市公安局铺设电缆</w:t>
            </w:r>
            <w:r>
              <w:rPr>
                <w:szCs w:val="21"/>
              </w:rPr>
              <w:fldChar w:fldCharType="begin"/>
            </w:r>
            <w:r>
              <w:rPr>
                <w:szCs w:val="21"/>
              </w:rPr>
              <w:instrText xml:space="preserve"> DOCVARIABLE  项目名称  \* MERGEFORMAT </w:instrText>
            </w:r>
            <w:r>
              <w:rPr>
                <w:szCs w:val="21"/>
              </w:rPr>
              <w:fldChar w:fldCharType="end"/>
            </w:r>
          </w:p>
          <w:p>
            <w:pPr>
              <w:jc w:val="center"/>
              <w:rPr>
                <w:b/>
                <w:bCs/>
              </w:rPr>
            </w:pPr>
          </w:p>
          <w:tbl>
            <w:tblPr>
              <w:tblStyle w:val="24"/>
              <w:tblW w:w="8506" w:type="dxa"/>
              <w:jc w:val="center"/>
              <w:tblLayout w:type="fixed"/>
              <w:tblCellMar>
                <w:top w:w="0" w:type="dxa"/>
                <w:left w:w="108" w:type="dxa"/>
                <w:bottom w:w="0" w:type="dxa"/>
                <w:right w:w="108" w:type="dxa"/>
              </w:tblCellMar>
            </w:tblPr>
            <w:tblGrid>
              <w:gridCol w:w="1260"/>
              <w:gridCol w:w="7246"/>
            </w:tblGrid>
            <w:tr>
              <w:tblPrEx>
                <w:tblCellMar>
                  <w:top w:w="0" w:type="dxa"/>
                  <w:left w:w="108" w:type="dxa"/>
                  <w:bottom w:w="0" w:type="dxa"/>
                  <w:right w:w="108" w:type="dxa"/>
                </w:tblCellMar>
              </w:tblPrEx>
              <w:trPr>
                <w:trHeight w:val="480" w:hRule="atLeast"/>
                <w:jc w:val="center"/>
              </w:trPr>
              <w:tc>
                <w:tcPr>
                  <w:tcW w:w="8506" w:type="dxa"/>
                  <w:gridSpan w:val="2"/>
                  <w:vAlign w:val="center"/>
                </w:tcPr>
                <w:p>
                  <w:pPr>
                    <w:rPr>
                      <w:b/>
                      <w:bCs/>
                    </w:rPr>
                  </w:pPr>
                  <w:r>
                    <w:rPr>
                      <w:rFonts w:hint="eastAsia"/>
                      <w:b/>
                      <w:bCs/>
                    </w:rPr>
                    <w:t>在 202</w:t>
                  </w:r>
                  <w:r>
                    <w:rPr>
                      <w:rFonts w:hint="eastAsia"/>
                      <w:b/>
                      <w:bCs/>
                      <w:lang w:val="en-US" w:eastAsia="zh-CN"/>
                    </w:rPr>
                    <w:t>4</w:t>
                  </w:r>
                  <w:r>
                    <w:rPr>
                      <w:rFonts w:hint="eastAsia"/>
                      <w:b/>
                      <w:bCs/>
                    </w:rPr>
                    <w:t>年</w:t>
                  </w:r>
                  <w:r>
                    <w:rPr>
                      <w:rFonts w:hint="eastAsia"/>
                      <w:b/>
                      <w:bCs/>
                      <w:lang w:val="en-US" w:eastAsia="zh-CN"/>
                    </w:rPr>
                    <w:t xml:space="preserve"> 5 </w:t>
                  </w:r>
                  <w:r>
                    <w:rPr>
                      <w:rFonts w:hint="eastAsia"/>
                      <w:b/>
                      <w:bCs/>
                    </w:rPr>
                    <w:t>月</w:t>
                  </w:r>
                  <w:r>
                    <w:rPr>
                      <w:rFonts w:hint="eastAsia"/>
                      <w:b/>
                      <w:bCs/>
                      <w:lang w:val="en-US" w:eastAsia="zh-CN"/>
                    </w:rPr>
                    <w:t xml:space="preserve"> 6 </w:t>
                  </w:r>
                  <w:r>
                    <w:rPr>
                      <w:rFonts w:hint="eastAsia"/>
                      <w:b/>
                      <w:bCs/>
                    </w:rPr>
                    <w:t>日</w:t>
                  </w:r>
                  <w:r>
                    <w:rPr>
                      <w:rFonts w:hint="eastAsia"/>
                      <w:b/>
                      <w:bCs/>
                      <w:lang w:val="en-US" w:eastAsia="zh-CN"/>
                    </w:rPr>
                    <w:t xml:space="preserve"> 下 </w:t>
                  </w:r>
                  <w:r>
                    <w:rPr>
                      <w:rFonts w:hint="eastAsia"/>
                      <w:b/>
                      <w:bCs/>
                    </w:rPr>
                    <w:t>午</w:t>
                  </w:r>
                  <w:r>
                    <w:rPr>
                      <w:rFonts w:hint="eastAsia"/>
                      <w:b/>
                      <w:bCs/>
                      <w:lang w:val="en-US" w:eastAsia="zh-CN"/>
                    </w:rPr>
                    <w:t xml:space="preserve"> 14 </w:t>
                  </w:r>
                  <w:r>
                    <w:rPr>
                      <w:rFonts w:hint="eastAsia"/>
                      <w:b/>
                      <w:bCs/>
                    </w:rPr>
                    <w:t>：</w:t>
                  </w:r>
                  <w:r>
                    <w:rPr>
                      <w:rFonts w:hint="eastAsia"/>
                      <w:b/>
                      <w:bCs/>
                      <w:lang w:val="en-US" w:eastAsia="zh-CN"/>
                    </w:rPr>
                    <w:t xml:space="preserve"> 30 </w:t>
                  </w:r>
                  <w:r>
                    <w:rPr>
                      <w:rFonts w:hint="eastAsia"/>
                      <w:b/>
                      <w:bCs/>
                    </w:rPr>
                    <w:t>-</w:t>
                  </w:r>
                  <w:r>
                    <w:rPr>
                      <w:rFonts w:hint="eastAsia"/>
                      <w:b/>
                      <w:bCs/>
                      <w:lang w:val="en-US" w:eastAsia="zh-CN"/>
                    </w:rPr>
                    <w:t xml:space="preserve"> 15 </w:t>
                  </w:r>
                  <w:r>
                    <w:rPr>
                      <w:rFonts w:hint="eastAsia"/>
                      <w:b/>
                      <w:bCs/>
                    </w:rPr>
                    <w:t>：</w:t>
                  </w:r>
                  <w:r>
                    <w:rPr>
                      <w:rFonts w:hint="eastAsia"/>
                      <w:b/>
                      <w:bCs/>
                      <w:lang w:val="en-US" w:eastAsia="zh-CN"/>
                    </w:rPr>
                    <w:t xml:space="preserve"> 00 </w:t>
                  </w:r>
                  <w:r>
                    <w:rPr>
                      <w:rFonts w:hint="eastAsia"/>
                      <w:b/>
                      <w:bCs/>
                    </w:rPr>
                    <w:t>时之间准时当面递交，且不得启封。</w:t>
                  </w:r>
                </w:p>
              </w:tc>
            </w:tr>
            <w:tr>
              <w:tblPrEx>
                <w:tblCellMar>
                  <w:top w:w="0" w:type="dxa"/>
                  <w:left w:w="108" w:type="dxa"/>
                  <w:bottom w:w="0" w:type="dxa"/>
                  <w:right w:w="108" w:type="dxa"/>
                </w:tblCellMar>
              </w:tblPrEx>
              <w:trPr>
                <w:trHeight w:val="615" w:hRule="atLeast"/>
                <w:jc w:val="center"/>
              </w:trPr>
              <w:tc>
                <w:tcPr>
                  <w:tcW w:w="1260" w:type="dxa"/>
                  <w:vAlign w:val="center"/>
                </w:tcPr>
                <w:p>
                  <w:pPr>
                    <w:rPr>
                      <w:b/>
                      <w:bCs/>
                    </w:rPr>
                  </w:pPr>
                  <w:r>
                    <w:rPr>
                      <w:rFonts w:hint="eastAsia"/>
                      <w:b/>
                      <w:bCs/>
                    </w:rPr>
                    <w:t>递交地点：</w:t>
                  </w:r>
                </w:p>
              </w:tc>
              <w:tc>
                <w:tcPr>
                  <w:tcW w:w="7246" w:type="dxa"/>
                  <w:vAlign w:val="center"/>
                </w:tcPr>
                <w:p>
                  <w:pPr>
                    <w:rPr>
                      <w:rFonts w:hint="eastAsia" w:eastAsia="宋体"/>
                      <w:b/>
                      <w:bCs/>
                      <w:lang w:eastAsia="zh-CN"/>
                    </w:rPr>
                  </w:pPr>
                  <w:r>
                    <w:rPr>
                      <w:rFonts w:hint="eastAsia"/>
                      <w:b/>
                      <w:bCs/>
                    </w:rPr>
                    <w:t>佛山市110城市应急指挥中心副楼11</w:t>
                  </w:r>
                  <w:r>
                    <w:rPr>
                      <w:rFonts w:hint="eastAsia"/>
                      <w:b/>
                      <w:bCs/>
                      <w:lang w:val="en-US" w:eastAsia="zh-CN"/>
                    </w:rPr>
                    <w:t>2</w:t>
                  </w:r>
                  <w:r>
                    <w:rPr>
                      <w:rFonts w:hint="eastAsia"/>
                      <w:b/>
                      <w:bCs/>
                    </w:rPr>
                    <w:t>室(佛山市禅城区魁奇二路37号)</w:t>
                  </w:r>
                  <w:r>
                    <w:rPr>
                      <w:rFonts w:hint="eastAsia"/>
                      <w:b/>
                      <w:bCs/>
                      <w:lang w:eastAsia="zh-CN"/>
                    </w:rPr>
                    <w:t>。</w:t>
                  </w:r>
                </w:p>
              </w:tc>
            </w:tr>
            <w:tr>
              <w:tblPrEx>
                <w:tblCellMar>
                  <w:top w:w="0" w:type="dxa"/>
                  <w:left w:w="108" w:type="dxa"/>
                  <w:bottom w:w="0" w:type="dxa"/>
                  <w:right w:w="108" w:type="dxa"/>
                </w:tblCellMar>
              </w:tblPrEx>
              <w:trPr>
                <w:trHeight w:val="285" w:hRule="atLeast"/>
                <w:jc w:val="center"/>
              </w:trPr>
              <w:tc>
                <w:tcPr>
                  <w:tcW w:w="1260" w:type="dxa"/>
                  <w:vAlign w:val="center"/>
                </w:tcPr>
                <w:p>
                  <w:pPr>
                    <w:jc w:val="center"/>
                    <w:rPr>
                      <w:b/>
                      <w:bCs/>
                    </w:rPr>
                  </w:pPr>
                  <w:r>
                    <w:rPr>
                      <w:rFonts w:hint="eastAsia" w:hAnsi="宋体"/>
                      <w:b/>
                    </w:rPr>
                    <w:t>声    明：</w:t>
                  </w:r>
                </w:p>
              </w:tc>
              <w:tc>
                <w:tcPr>
                  <w:tcW w:w="7246" w:type="dxa"/>
                  <w:vAlign w:val="center"/>
                </w:tcPr>
                <w:p>
                  <w:pPr>
                    <w:rPr>
                      <w:b/>
                      <w:bCs/>
                    </w:rPr>
                  </w:pPr>
                  <w:r>
                    <w:rPr>
                      <w:rFonts w:hint="eastAsia" w:hAnsi="宋体"/>
                      <w:b/>
                    </w:rPr>
                    <w:t>同意由</w:t>
                  </w:r>
                  <w:r>
                    <w:rPr>
                      <w:rFonts w:hAnsi="宋体"/>
                      <w:b/>
                    </w:rPr>
                    <w:t>递交</w:t>
                  </w:r>
                  <w:r>
                    <w:rPr>
                      <w:rFonts w:hint="eastAsia" w:hAnsi="宋体"/>
                      <w:b/>
                    </w:rPr>
                    <w:t>响应文件</w:t>
                  </w:r>
                  <w:r>
                    <w:rPr>
                      <w:rFonts w:hAnsi="宋体"/>
                      <w:b/>
                    </w:rPr>
                    <w:t>登记顺序的前</w:t>
                  </w:r>
                  <w:r>
                    <w:rPr>
                      <w:rFonts w:hint="eastAsia" w:hAnsi="宋体"/>
                      <w:b/>
                    </w:rPr>
                    <w:t>两</w:t>
                  </w:r>
                  <w:r>
                    <w:rPr>
                      <w:rFonts w:hAnsi="宋体"/>
                      <w:b/>
                    </w:rPr>
                    <w:t>名供应商，将</w:t>
                  </w:r>
                  <w:r>
                    <w:rPr>
                      <w:rFonts w:hint="eastAsia" w:hAnsi="宋体"/>
                      <w:b/>
                    </w:rPr>
                    <w:t>作为集中推选的</w:t>
                  </w:r>
                  <w:r>
                    <w:rPr>
                      <w:rFonts w:hAnsi="宋体"/>
                      <w:b/>
                    </w:rPr>
                    <w:t>代表</w:t>
                  </w:r>
                  <w:r>
                    <w:rPr>
                      <w:rFonts w:hint="eastAsia" w:hAnsi="宋体"/>
                      <w:b/>
                    </w:rPr>
                    <w:t>，</w:t>
                  </w:r>
                  <w:r>
                    <w:rPr>
                      <w:rFonts w:hAnsi="宋体"/>
                      <w:b/>
                    </w:rPr>
                    <w:t>现场对所有</w:t>
                  </w:r>
                  <w:r>
                    <w:rPr>
                      <w:rFonts w:hint="eastAsia" w:hAnsi="宋体"/>
                      <w:b/>
                    </w:rPr>
                    <w:t>响应文件</w:t>
                  </w:r>
                  <w:r>
                    <w:rPr>
                      <w:rFonts w:hAnsi="宋体"/>
                      <w:b/>
                    </w:rPr>
                    <w:t>进行密封性检查</w:t>
                  </w:r>
                  <w:r>
                    <w:rPr>
                      <w:rFonts w:hint="eastAsia" w:hAnsi="宋体"/>
                      <w:b/>
                    </w:rPr>
                    <w:t>。</w:t>
                  </w:r>
                </w:p>
              </w:tc>
            </w:tr>
          </w:tbl>
          <w:p/>
        </w:tc>
      </w:tr>
    </w:tbl>
    <w:p>
      <w:pPr>
        <w:spacing w:line="360" w:lineRule="auto"/>
        <w:ind w:firstLine="480" w:firstLineChars="200"/>
        <w:rPr>
          <w:sz w:val="24"/>
        </w:rPr>
      </w:pPr>
    </w:p>
    <w:p>
      <w:pPr>
        <w:spacing w:line="360" w:lineRule="auto"/>
        <w:ind w:firstLine="480" w:firstLineChars="100"/>
        <w:rPr>
          <w:rFonts w:ascii="隶书" w:eastAsia="隶书"/>
          <w:sz w:val="48"/>
          <w:szCs w:val="48"/>
        </w:rPr>
      </w:pPr>
      <w:r>
        <w:rPr>
          <w:rFonts w:hint="eastAsia" w:ascii="隶书" w:eastAsia="隶书"/>
          <w:sz w:val="48"/>
          <w:szCs w:val="48"/>
        </w:rPr>
        <w:t>注意事项</w:t>
      </w:r>
    </w:p>
    <w:p>
      <w:pPr>
        <w:spacing w:line="360" w:lineRule="auto"/>
        <w:ind w:firstLine="480" w:firstLineChars="200"/>
        <w:rPr>
          <w:bCs/>
          <w:sz w:val="24"/>
        </w:rPr>
      </w:pPr>
      <w:r>
        <w:rPr>
          <w:rFonts w:hint="eastAsia"/>
          <w:bCs/>
          <w:sz w:val="24"/>
        </w:rPr>
        <w:t>一、报价信封另单独封装，并按下列顺序装订：</w:t>
      </w:r>
    </w:p>
    <w:p>
      <w:pPr>
        <w:numPr>
          <w:ilvl w:val="0"/>
          <w:numId w:val="38"/>
        </w:numPr>
        <w:tabs>
          <w:tab w:val="left" w:pos="900"/>
        </w:tabs>
        <w:spacing w:line="360" w:lineRule="auto"/>
        <w:ind w:left="1080" w:hanging="540"/>
      </w:pPr>
      <w:r>
        <w:rPr>
          <w:rFonts w:hint="eastAsia"/>
        </w:rPr>
        <w:t>《磋商报价汇总表》（须加盖公章）；</w:t>
      </w:r>
    </w:p>
    <w:p>
      <w:pPr>
        <w:numPr>
          <w:ilvl w:val="0"/>
          <w:numId w:val="38"/>
        </w:numPr>
        <w:tabs>
          <w:tab w:val="left" w:pos="900"/>
        </w:tabs>
        <w:spacing w:line="360" w:lineRule="auto"/>
        <w:ind w:left="1080" w:hanging="540"/>
        <w:rPr>
          <w:lang w:val="zh-CN"/>
        </w:rPr>
      </w:pPr>
      <w:r>
        <w:rPr>
          <w:rFonts w:hint="eastAsia"/>
          <w:lang w:val="zh-CN"/>
        </w:rPr>
        <w:t>电子文件（须包含</w:t>
      </w:r>
      <w:r>
        <w:rPr>
          <w:rFonts w:hint="eastAsia"/>
          <w:lang w:val="en-GB"/>
        </w:rPr>
        <w:t>资格性文件、</w:t>
      </w:r>
      <w:r>
        <w:rPr>
          <w:rFonts w:hint="eastAsia"/>
          <w:lang w:val="en-GB" w:eastAsia="zh-CN"/>
        </w:rPr>
        <w:t>评审内容索引、</w:t>
      </w:r>
      <w:r>
        <w:rPr>
          <w:rFonts w:hint="eastAsia"/>
          <w:lang w:val="en-GB"/>
        </w:rPr>
        <w:t>技术部分、商务部分、价格部分、</w:t>
      </w:r>
      <w:r>
        <w:rPr>
          <w:rFonts w:hint="eastAsia"/>
        </w:rPr>
        <w:t>其他文件</w:t>
      </w:r>
      <w:r>
        <w:rPr>
          <w:rFonts w:hint="eastAsia"/>
          <w:lang w:val="en-GB"/>
        </w:rPr>
        <w:t>；具体格式要求详见“供应商须知”</w:t>
      </w:r>
      <w:r>
        <w:rPr>
          <w:rFonts w:hint="eastAsia"/>
          <w:lang w:val="zh-CN"/>
        </w:rPr>
        <w:t>）。</w:t>
      </w:r>
    </w:p>
    <w:p>
      <w:pPr>
        <w:pStyle w:val="11"/>
      </w:pPr>
    </w:p>
    <w:p>
      <w:pPr>
        <w:spacing w:line="360" w:lineRule="auto"/>
        <w:ind w:firstLine="480" w:firstLineChars="200"/>
        <w:rPr>
          <w:sz w:val="24"/>
        </w:rPr>
      </w:pPr>
    </w:p>
    <w:p>
      <w:pPr>
        <w:spacing w:line="360" w:lineRule="auto"/>
        <w:ind w:firstLine="480" w:firstLineChars="200"/>
        <w:rPr>
          <w:bCs/>
          <w:sz w:val="24"/>
        </w:rPr>
      </w:pPr>
      <w:r>
        <w:rPr>
          <w:rFonts w:hint="eastAsia"/>
          <w:bCs/>
          <w:sz w:val="24"/>
        </w:rPr>
        <w:t>二、重要提示：</w:t>
      </w:r>
    </w:p>
    <w:p>
      <w:pPr>
        <w:numPr>
          <w:ilvl w:val="0"/>
          <w:numId w:val="39"/>
        </w:numPr>
        <w:tabs>
          <w:tab w:val="left" w:pos="900"/>
        </w:tabs>
        <w:spacing w:line="360" w:lineRule="auto"/>
        <w:ind w:left="900" w:leftChars="258" w:hanging="358"/>
      </w:pPr>
      <w:r>
        <w:rPr>
          <w:rFonts w:hint="eastAsia" w:hAnsi="宋体"/>
        </w:rPr>
        <w:t>报价信封</w:t>
      </w:r>
      <w:r>
        <w:rPr>
          <w:rFonts w:hAnsi="宋体"/>
        </w:rPr>
        <w:t>与正、副本必须分开单独封装并标贴此封面，密封口处须加盖公章</w:t>
      </w:r>
      <w:r>
        <w:t>或授权代表签名</w:t>
      </w:r>
      <w:r>
        <w:rPr>
          <w:rFonts w:hAnsi="宋体"/>
        </w:rPr>
        <w:t>。</w:t>
      </w:r>
    </w:p>
    <w:p>
      <w:pPr>
        <w:numPr>
          <w:ilvl w:val="0"/>
          <w:numId w:val="39"/>
        </w:numPr>
        <w:tabs>
          <w:tab w:val="left" w:pos="900"/>
        </w:tabs>
        <w:spacing w:line="360" w:lineRule="auto"/>
        <w:ind w:left="900" w:leftChars="258" w:hanging="358"/>
      </w:pPr>
      <w:r>
        <w:rPr>
          <w:rFonts w:hAnsi="宋体"/>
        </w:rPr>
        <w:t>递交文件登记顺序的前</w:t>
      </w:r>
      <w:r>
        <w:rPr>
          <w:rFonts w:hint="eastAsia" w:hAnsi="宋体"/>
        </w:rPr>
        <w:t>二</w:t>
      </w:r>
      <w:r>
        <w:rPr>
          <w:rFonts w:hAnsi="宋体"/>
        </w:rPr>
        <w:t>名供应商，将</w:t>
      </w:r>
      <w:r>
        <w:rPr>
          <w:rFonts w:hint="eastAsia" w:hAnsi="宋体"/>
        </w:rPr>
        <w:t>作为集中推选的</w:t>
      </w:r>
      <w:r>
        <w:rPr>
          <w:rFonts w:hAnsi="宋体"/>
        </w:rPr>
        <w:t>代表现场对所有</w:t>
      </w:r>
      <w:r>
        <w:rPr>
          <w:rFonts w:hint="eastAsia" w:hAnsi="宋体"/>
        </w:rPr>
        <w:t>响应文件</w:t>
      </w:r>
      <w:r>
        <w:rPr>
          <w:rFonts w:hAnsi="宋体"/>
        </w:rPr>
        <w:t>进行密封性检查。</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宋体-方正超大字符集">
    <w:altName w:val="宋体"/>
    <w:panose1 w:val="00000000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2"/>
    </w:pPr>
    <w:r>
      <w:fldChar w:fldCharType="begin"/>
    </w:r>
    <w:r>
      <w:instrText xml:space="preserve">PAGE  </w:instrText>
    </w:r>
    <w:r>
      <w:fldChar w:fldCharType="separate"/>
    </w:r>
    <w:r>
      <w:t>44</w: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560"/>
      </w:tabs>
      <w:ind w:right="2" w:rightChars="1"/>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49" w:after="10" w:line="180" w:lineRule="auto"/>
      <w:ind w:firstLine="4389"/>
      <w:rPr>
        <w:rFonts w:ascii="Calibri" w:hAnsi="Calibri" w:eastAsia="Calibri" w:cs="Calibri"/>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49" w:after="10" w:line="180" w:lineRule="auto"/>
      <w:ind w:firstLine="4389"/>
      <w:rPr>
        <w:rFonts w:ascii="Calibri" w:hAnsi="Calibri" w:eastAsia="Calibri" w:cs="Calibri"/>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35</w:t>
                    </w:r>
                    <w:r>
                      <w:fldChar w:fldCharType="end"/>
                    </w:r>
                  </w:p>
                </w:txbxContent>
              </v:textbox>
            </v:shape>
          </w:pict>
        </mc:Fallback>
      </mc:AlternateContent>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left"/>
      <w:rPr>
        <w:rFonts w:ascii="宋体" w:hAnsi="宋体"/>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30695"/>
    <w:multiLevelType w:val="singleLevel"/>
    <w:tmpl w:val="8B730695"/>
    <w:lvl w:ilvl="0" w:tentative="0">
      <w:start w:val="1"/>
      <w:numFmt w:val="decimal"/>
      <w:suff w:val="nothing"/>
      <w:lvlText w:val="（%1）"/>
      <w:lvlJc w:val="left"/>
    </w:lvl>
  </w:abstractNum>
  <w:abstractNum w:abstractNumId="1">
    <w:nsid w:val="CA12EC81"/>
    <w:multiLevelType w:val="multilevel"/>
    <w:tmpl w:val="CA12EC81"/>
    <w:lvl w:ilvl="0" w:tentative="0">
      <w:start w:val="1"/>
      <w:numFmt w:val="decimal"/>
      <w:lvlText w:val="%1."/>
      <w:lvlJc w:val="left"/>
      <w:pPr>
        <w:tabs>
          <w:tab w:val="left" w:pos="900"/>
        </w:tabs>
        <w:ind w:left="900" w:hanging="42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F3FFB3A3"/>
    <w:multiLevelType w:val="singleLevel"/>
    <w:tmpl w:val="F3FFB3A3"/>
    <w:lvl w:ilvl="0" w:tentative="0">
      <w:start w:val="1"/>
      <w:numFmt w:val="decimal"/>
      <w:suff w:val="nothing"/>
      <w:lvlText w:val="%1、"/>
      <w:lvlJc w:val="left"/>
      <w:pPr>
        <w:ind w:left="420" w:leftChars="0" w:firstLine="0" w:firstLineChars="0"/>
      </w:pPr>
    </w:lvl>
  </w:abstractNum>
  <w:abstractNum w:abstractNumId="3">
    <w:nsid w:val="00000002"/>
    <w:multiLevelType w:val="multilevel"/>
    <w:tmpl w:val="00000002"/>
    <w:lvl w:ilvl="0" w:tentative="0">
      <w:start w:val="1"/>
      <w:numFmt w:val="decimal"/>
      <w:lvlText w:val="%1"/>
      <w:lvlJc w:val="left"/>
      <w:pPr>
        <w:tabs>
          <w:tab w:val="left" w:pos="170"/>
        </w:tabs>
        <w:ind w:left="170" w:hanging="170"/>
      </w:pPr>
      <w:rPr>
        <w:rFonts w:hint="default" w:ascii="宋体" w:hAnsi="宋体" w:eastAsia="宋体" w:cs="宋体"/>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4"/>
    <w:multiLevelType w:val="multilevel"/>
    <w:tmpl w:val="00000004"/>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5"/>
    <w:multiLevelType w:val="multilevel"/>
    <w:tmpl w:val="00000005"/>
    <w:lvl w:ilvl="0" w:tentative="0">
      <w:start w:val="1"/>
      <w:numFmt w:val="decimal"/>
      <w:lvlText w:val="2.%1"/>
      <w:lvlJc w:val="left"/>
      <w:pPr>
        <w:tabs>
          <w:tab w:val="left" w:pos="716"/>
        </w:tabs>
        <w:ind w:left="416" w:hanging="420"/>
      </w:pPr>
      <w:rPr>
        <w:rFonts w:hint="eastAsia"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A"/>
    <w:multiLevelType w:val="multilevel"/>
    <w:tmpl w:val="0000000A"/>
    <w:lvl w:ilvl="0" w:tentative="0">
      <w:start w:val="1"/>
      <w:numFmt w:val="bullet"/>
      <w:lvlText w:val=""/>
      <w:lvlJc w:val="left"/>
      <w:pPr>
        <w:tabs>
          <w:tab w:val="left" w:pos="930"/>
        </w:tabs>
        <w:ind w:left="930" w:hanging="51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7">
    <w:nsid w:val="0000000B"/>
    <w:multiLevelType w:val="multilevel"/>
    <w:tmpl w:val="0000000B"/>
    <w:lvl w:ilvl="0" w:tentative="0">
      <w:start w:val="1"/>
      <w:numFmt w:val="decimal"/>
      <w:lvlText w:val="3.%1"/>
      <w:lvlJc w:val="left"/>
      <w:pPr>
        <w:tabs>
          <w:tab w:val="left" w:pos="851"/>
        </w:tabs>
        <w:ind w:left="851" w:hanging="567"/>
      </w:pPr>
      <w:rPr>
        <w:rFonts w:hint="eastAsia"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0C"/>
    <w:multiLevelType w:val="multilevel"/>
    <w:tmpl w:val="0000000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0D"/>
    <w:multiLevelType w:val="multilevel"/>
    <w:tmpl w:val="0000000D"/>
    <w:lvl w:ilvl="0" w:tentative="0">
      <w:start w:val="1"/>
      <w:numFmt w:val="decimal"/>
      <w:lvlText w:val="4.%1"/>
      <w:lvlJc w:val="left"/>
      <w:pPr>
        <w:tabs>
          <w:tab w:val="left" w:pos="855"/>
        </w:tabs>
        <w:ind w:left="855" w:hanging="567"/>
      </w:pPr>
      <w:rPr>
        <w:rFonts w:hint="eastAsia"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0F"/>
    <w:multiLevelType w:val="multilevel"/>
    <w:tmpl w:val="0000000F"/>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1">
    <w:nsid w:val="00000014"/>
    <w:multiLevelType w:val="multilevel"/>
    <w:tmpl w:val="00000014"/>
    <w:lvl w:ilvl="0" w:tentative="0">
      <w:start w:val="1"/>
      <w:numFmt w:val="decimal"/>
      <w:lvlText w:val="(%1)"/>
      <w:lvlJc w:val="left"/>
      <w:pPr>
        <w:tabs>
          <w:tab w:val="left" w:pos="510"/>
        </w:tabs>
        <w:ind w:left="510" w:hanging="51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00000015"/>
    <w:multiLevelType w:val="multilevel"/>
    <w:tmpl w:val="00000015"/>
    <w:lvl w:ilvl="0" w:tentative="0">
      <w:start w:val="1"/>
      <w:numFmt w:val="decimal"/>
      <w:lvlText w:val="%1"/>
      <w:lvlJc w:val="left"/>
      <w:pPr>
        <w:tabs>
          <w:tab w:val="left" w:pos="360"/>
        </w:tabs>
        <w:ind w:left="0" w:firstLine="0"/>
      </w:pPr>
      <w:rPr>
        <w:rFonts w:hint="eastAsia"/>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6"/>
    <w:multiLevelType w:val="multilevel"/>
    <w:tmpl w:val="00000016"/>
    <w:lvl w:ilvl="0" w:tentative="0">
      <w:start w:val="1"/>
      <w:numFmt w:val="decimal"/>
      <w:lvlText w:val="%1"/>
      <w:lvlJc w:val="left"/>
      <w:pPr>
        <w:tabs>
          <w:tab w:val="left" w:pos="360"/>
        </w:tabs>
        <w:ind w:left="0" w:firstLine="0"/>
      </w:pPr>
      <w:rPr>
        <w:rFonts w:hint="default" w:ascii="宋体" w:hAnsi="宋体" w:eastAsia="宋体" w:cs="宋体"/>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8"/>
    <w:multiLevelType w:val="multilevel"/>
    <w:tmpl w:val="00000018"/>
    <w:lvl w:ilvl="0" w:tentative="0">
      <w:start w:val="1"/>
      <w:numFmt w:val="decimal"/>
      <w:lvlText w:val="%1"/>
      <w:lvlJc w:val="left"/>
      <w:pPr>
        <w:tabs>
          <w:tab w:val="left" w:pos="170"/>
        </w:tabs>
        <w:ind w:left="170" w:hanging="170"/>
      </w:pPr>
      <w:rPr>
        <w:rFonts w:hint="default" w:ascii="宋体" w:hAnsi="宋体" w:eastAsia="宋体" w:cs="宋体"/>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1A"/>
    <w:multiLevelType w:val="multilevel"/>
    <w:tmpl w:val="0000001A"/>
    <w:lvl w:ilvl="0" w:tentative="0">
      <w:start w:val="1"/>
      <w:numFmt w:val="bullet"/>
      <w:lvlText w:val=""/>
      <w:lvlJc w:val="left"/>
      <w:pPr>
        <w:tabs>
          <w:tab w:val="left" w:pos="695"/>
        </w:tabs>
        <w:ind w:left="695" w:hanging="420"/>
      </w:pPr>
      <w:rPr>
        <w:rFonts w:hint="default" w:ascii="Wingdings" w:hAnsi="Wingdings"/>
        <w:color w:val="auto"/>
        <w:sz w:val="28"/>
        <w:szCs w:val="28"/>
      </w:rPr>
    </w:lvl>
    <w:lvl w:ilvl="1" w:tentative="0">
      <w:start w:val="1"/>
      <w:numFmt w:val="decimal"/>
      <w:lvlText w:val="%2)"/>
      <w:lvlJc w:val="left"/>
      <w:pPr>
        <w:tabs>
          <w:tab w:val="left" w:pos="1115"/>
        </w:tabs>
        <w:ind w:left="1115" w:hanging="420"/>
      </w:pPr>
      <w:rPr>
        <w:rFonts w:hint="default"/>
      </w:rPr>
    </w:lvl>
    <w:lvl w:ilvl="2" w:tentative="0">
      <w:start w:val="1"/>
      <w:numFmt w:val="bullet"/>
      <w:lvlText w:val=""/>
      <w:lvlJc w:val="left"/>
      <w:pPr>
        <w:tabs>
          <w:tab w:val="left" w:pos="1535"/>
        </w:tabs>
        <w:ind w:left="1535" w:hanging="420"/>
      </w:pPr>
      <w:rPr>
        <w:rFonts w:hint="default" w:ascii="Wingdings" w:hAnsi="Wingdings"/>
      </w:rPr>
    </w:lvl>
    <w:lvl w:ilvl="3" w:tentative="0">
      <w:start w:val="1"/>
      <w:numFmt w:val="bullet"/>
      <w:lvlText w:val=""/>
      <w:lvlJc w:val="left"/>
      <w:pPr>
        <w:tabs>
          <w:tab w:val="left" w:pos="1955"/>
        </w:tabs>
        <w:ind w:left="1955" w:hanging="420"/>
      </w:pPr>
      <w:rPr>
        <w:rFonts w:hint="default" w:ascii="Wingdings" w:hAnsi="Wingdings"/>
      </w:rPr>
    </w:lvl>
    <w:lvl w:ilvl="4" w:tentative="0">
      <w:start w:val="1"/>
      <w:numFmt w:val="bullet"/>
      <w:lvlText w:val=""/>
      <w:lvlJc w:val="left"/>
      <w:pPr>
        <w:tabs>
          <w:tab w:val="left" w:pos="2375"/>
        </w:tabs>
        <w:ind w:left="2375" w:hanging="420"/>
      </w:pPr>
      <w:rPr>
        <w:rFonts w:hint="default" w:ascii="Wingdings" w:hAnsi="Wingdings"/>
      </w:rPr>
    </w:lvl>
    <w:lvl w:ilvl="5" w:tentative="0">
      <w:start w:val="1"/>
      <w:numFmt w:val="bullet"/>
      <w:lvlText w:val=""/>
      <w:lvlJc w:val="left"/>
      <w:pPr>
        <w:tabs>
          <w:tab w:val="left" w:pos="2795"/>
        </w:tabs>
        <w:ind w:left="2795" w:hanging="420"/>
      </w:pPr>
      <w:rPr>
        <w:rFonts w:hint="default" w:ascii="Wingdings" w:hAnsi="Wingdings"/>
      </w:rPr>
    </w:lvl>
    <w:lvl w:ilvl="6" w:tentative="0">
      <w:start w:val="1"/>
      <w:numFmt w:val="bullet"/>
      <w:lvlText w:val=""/>
      <w:lvlJc w:val="left"/>
      <w:pPr>
        <w:tabs>
          <w:tab w:val="left" w:pos="3215"/>
        </w:tabs>
        <w:ind w:left="3215" w:hanging="420"/>
      </w:pPr>
      <w:rPr>
        <w:rFonts w:hint="default" w:ascii="Wingdings" w:hAnsi="Wingdings"/>
      </w:rPr>
    </w:lvl>
    <w:lvl w:ilvl="7" w:tentative="0">
      <w:start w:val="1"/>
      <w:numFmt w:val="bullet"/>
      <w:lvlText w:val=""/>
      <w:lvlJc w:val="left"/>
      <w:pPr>
        <w:tabs>
          <w:tab w:val="left" w:pos="3635"/>
        </w:tabs>
        <w:ind w:left="3635" w:hanging="420"/>
      </w:pPr>
      <w:rPr>
        <w:rFonts w:hint="default" w:ascii="Wingdings" w:hAnsi="Wingdings"/>
      </w:rPr>
    </w:lvl>
    <w:lvl w:ilvl="8" w:tentative="0">
      <w:start w:val="1"/>
      <w:numFmt w:val="bullet"/>
      <w:lvlText w:val=""/>
      <w:lvlJc w:val="left"/>
      <w:pPr>
        <w:tabs>
          <w:tab w:val="left" w:pos="4055"/>
        </w:tabs>
        <w:ind w:left="4055" w:hanging="420"/>
      </w:pPr>
      <w:rPr>
        <w:rFonts w:hint="default" w:ascii="Wingdings" w:hAnsi="Wingdings"/>
      </w:rPr>
    </w:lvl>
  </w:abstractNum>
  <w:abstractNum w:abstractNumId="16">
    <w:nsid w:val="0000001B"/>
    <w:multiLevelType w:val="multilevel"/>
    <w:tmpl w:val="0000001B"/>
    <w:lvl w:ilvl="0" w:tentative="0">
      <w:start w:val="1"/>
      <w:numFmt w:val="decimal"/>
      <w:suff w:val="space"/>
      <w:lvlText w:val="%1."/>
      <w:lvlJc w:val="left"/>
    </w:lvl>
    <w:lvl w:ilvl="1" w:tentative="0">
      <w:start w:val="1"/>
      <w:numFmt w:val="bullet"/>
      <w:lvlText w:val=""/>
      <w:lvlJc w:val="left"/>
      <w:pPr>
        <w:tabs>
          <w:tab w:val="left" w:pos="840"/>
        </w:tabs>
        <w:ind w:left="840" w:hanging="420"/>
      </w:pPr>
      <w:rPr>
        <w:rFonts w:hint="default" w:ascii="Wingdings" w:hAnsi="Wingdings"/>
        <w:sz w:val="21"/>
        <w:szCs w:val="21"/>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1D"/>
    <w:multiLevelType w:val="multilevel"/>
    <w:tmpl w:val="0000001D"/>
    <w:lvl w:ilvl="0" w:tentative="0">
      <w:start w:val="1"/>
      <w:numFmt w:val="chineseCountingThousand"/>
      <w:lvlText w:val="%1、"/>
      <w:lvlJc w:val="left"/>
      <w:pPr>
        <w:tabs>
          <w:tab w:val="left" w:pos="1044"/>
        </w:tabs>
        <w:ind w:left="1044" w:hanging="624"/>
      </w:pPr>
      <w:rPr>
        <w:rFonts w:hint="eastAsia"/>
      </w:rPr>
    </w:lvl>
    <w:lvl w:ilvl="1" w:tentative="0">
      <w:start w:val="1"/>
      <w:numFmt w:val="decimal"/>
      <w:lvlText w:val="%2."/>
      <w:lvlJc w:val="left"/>
      <w:pPr>
        <w:tabs>
          <w:tab w:val="left" w:pos="1200"/>
        </w:tabs>
        <w:ind w:left="1200" w:hanging="360"/>
      </w:pPr>
      <w:rPr>
        <w:rFonts w:hint="eastAsia"/>
      </w:rPr>
    </w:lvl>
    <w:lvl w:ilvl="2" w:tentative="0">
      <w:start w:val="1"/>
      <w:numFmt w:val="decimal"/>
      <w:lvlText w:val="%3．"/>
      <w:lvlJc w:val="left"/>
      <w:pPr>
        <w:tabs>
          <w:tab w:val="left" w:pos="1620"/>
        </w:tabs>
        <w:ind w:left="1620" w:hanging="360"/>
      </w:pPr>
      <w:rPr>
        <w:rFonts w:hint="default"/>
      </w:rPr>
    </w:lvl>
    <w:lvl w:ilvl="3" w:tentative="0">
      <w:start w:val="1"/>
      <w:numFmt w:val="decimal"/>
      <w:lvlText w:val="（%4）"/>
      <w:lvlJc w:val="left"/>
      <w:pPr>
        <w:tabs>
          <w:tab w:val="left" w:pos="2400"/>
        </w:tabs>
        <w:ind w:left="2400" w:hanging="720"/>
      </w:pPr>
      <w:rPr>
        <w:rFonts w:hint="default"/>
      </w:r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8">
    <w:nsid w:val="0000001E"/>
    <w:multiLevelType w:val="multilevel"/>
    <w:tmpl w:val="0000001E"/>
    <w:lvl w:ilvl="0" w:tentative="0">
      <w:start w:val="1"/>
      <w:numFmt w:val="decimal"/>
      <w:lvlText w:val="1.%1."/>
      <w:lvlJc w:val="left"/>
      <w:pPr>
        <w:tabs>
          <w:tab w:val="left" w:pos="510"/>
        </w:tabs>
        <w:ind w:left="510" w:hanging="510"/>
      </w:pPr>
      <w:rPr>
        <w:rFonts w:hint="eastAsia"/>
        <w:b/>
        <w:i w:val="0"/>
      </w:rPr>
    </w:lvl>
    <w:lvl w:ilvl="1" w:tentative="0">
      <w:start w:val="1"/>
      <w:numFmt w:val="chineseCountingThousand"/>
      <w:lvlText w:val="%2、"/>
      <w:lvlJc w:val="left"/>
      <w:pPr>
        <w:tabs>
          <w:tab w:val="left" w:pos="0"/>
        </w:tabs>
        <w:ind w:left="0" w:firstLine="0"/>
      </w:pPr>
      <w:rPr>
        <w:rFonts w:hint="eastAsia"/>
        <w:b/>
        <w:i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9">
    <w:nsid w:val="00000021"/>
    <w:multiLevelType w:val="multilevel"/>
    <w:tmpl w:val="00000021"/>
    <w:lvl w:ilvl="0" w:tentative="0">
      <w:start w:val="1"/>
      <w:numFmt w:val="decimal"/>
      <w:lvlText w:val="%1."/>
      <w:lvlJc w:val="left"/>
      <w:pPr>
        <w:tabs>
          <w:tab w:val="left" w:pos="624"/>
        </w:tabs>
        <w:ind w:left="624" w:hanging="624"/>
      </w:pPr>
      <w:rPr>
        <w:rFonts w:hint="default" w:ascii="Times New Roman" w:hAnsi="Times New Roman" w:eastAsia="宋体" w:cs="Times New Roman"/>
        <w:b/>
        <w:i w:val="0"/>
      </w:rPr>
    </w:lvl>
    <w:lvl w:ilvl="1" w:tentative="0">
      <w:start w:val="1"/>
      <w:numFmt w:val="decimal"/>
      <w:lvlText w:val="%1.%2"/>
      <w:lvlJc w:val="left"/>
      <w:pPr>
        <w:tabs>
          <w:tab w:val="left" w:pos="624"/>
        </w:tabs>
        <w:ind w:left="624" w:hanging="624"/>
      </w:pPr>
      <w:rPr>
        <w:rFonts w:hint="default" w:ascii="Times New Roman" w:hAnsi="Times New Roman" w:cs="Times New Roman"/>
        <w:b w:val="0"/>
        <w:i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0">
    <w:nsid w:val="00000023"/>
    <w:multiLevelType w:val="multilevel"/>
    <w:tmpl w:val="00000023"/>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21">
    <w:nsid w:val="00000026"/>
    <w:multiLevelType w:val="multilevel"/>
    <w:tmpl w:val="0000002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5"/>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0000002A"/>
    <w:multiLevelType w:val="multilevel"/>
    <w:tmpl w:val="0000002A"/>
    <w:lvl w:ilvl="0" w:tentative="0">
      <w:start w:val="1"/>
      <w:numFmt w:val="decimal"/>
      <w:lvlText w:val="1.%1"/>
      <w:lvlJc w:val="left"/>
      <w:pPr>
        <w:tabs>
          <w:tab w:val="left" w:pos="716"/>
        </w:tabs>
        <w:ind w:left="416" w:hanging="420"/>
      </w:pPr>
      <w:rPr>
        <w:rFonts w:hint="eastAsia"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0000002E"/>
    <w:multiLevelType w:val="multilevel"/>
    <w:tmpl w:val="0000002E"/>
    <w:lvl w:ilvl="0" w:tentative="0">
      <w:start w:val="1"/>
      <w:numFmt w:val="chineseCountingThousand"/>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00000032"/>
    <w:multiLevelType w:val="multilevel"/>
    <w:tmpl w:val="00000032"/>
    <w:lvl w:ilvl="0" w:tentative="0">
      <w:start w:val="1"/>
      <w:numFmt w:val="decimal"/>
      <w:lvlText w:val="%1."/>
      <w:lvlJc w:val="left"/>
      <w:pPr>
        <w:tabs>
          <w:tab w:val="left" w:pos="900"/>
        </w:tabs>
        <w:ind w:left="900" w:hanging="42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00000035"/>
    <w:multiLevelType w:val="multilevel"/>
    <w:tmpl w:val="00000035"/>
    <w:lvl w:ilvl="0" w:tentative="0">
      <w:start w:val="1"/>
      <w:numFmt w:val="decimal"/>
      <w:lvlText w:val="%1)"/>
      <w:lvlJc w:val="left"/>
      <w:pPr>
        <w:tabs>
          <w:tab w:val="left" w:pos="420"/>
        </w:tabs>
        <w:ind w:left="420" w:hanging="420"/>
      </w:pPr>
      <w:rPr>
        <w:b w:val="0"/>
      </w:rPr>
    </w:lvl>
    <w:lvl w:ilvl="1" w:tentative="0">
      <w:start w:val="1"/>
      <w:numFmt w:val="bullet"/>
      <w:lvlText w:val=""/>
      <w:lvlJc w:val="left"/>
      <w:pPr>
        <w:tabs>
          <w:tab w:val="left" w:pos="840"/>
        </w:tabs>
        <w:ind w:left="840" w:hanging="420"/>
      </w:pPr>
      <w:rPr>
        <w:rFonts w:hint="default" w:ascii="Wingdings" w:hAnsi="Wingdings"/>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00000039"/>
    <w:multiLevelType w:val="multilevel"/>
    <w:tmpl w:val="00000039"/>
    <w:lvl w:ilvl="0" w:tentative="0">
      <w:start w:val="1"/>
      <w:numFmt w:val="decimal"/>
      <w:lvlText w:val="(%1)"/>
      <w:lvlJc w:val="left"/>
      <w:pPr>
        <w:tabs>
          <w:tab w:val="left" w:pos="510"/>
        </w:tabs>
        <w:ind w:left="510" w:hanging="51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0000003C"/>
    <w:multiLevelType w:val="multilevel"/>
    <w:tmpl w:val="0000003C"/>
    <w:lvl w:ilvl="0" w:tentative="0">
      <w:start w:val="1"/>
      <w:numFmt w:val="decimal"/>
      <w:lvlText w:val="%1."/>
      <w:lvlJc w:val="left"/>
      <w:pPr>
        <w:tabs>
          <w:tab w:val="left" w:pos="420"/>
        </w:tabs>
        <w:ind w:left="420" w:hanging="420"/>
      </w:pPr>
      <w:rPr>
        <w:rFonts w:hint="default" w:ascii="宋体" w:hAnsi="宋体" w:eastAsia="宋体" w:cs="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00000051"/>
    <w:multiLevelType w:val="multilevel"/>
    <w:tmpl w:val="00000051"/>
    <w:lvl w:ilvl="0" w:tentative="0">
      <w:start w:val="1"/>
      <w:numFmt w:val="decimal"/>
      <w:lvlText w:val="%1."/>
      <w:lvlJc w:val="left"/>
      <w:pPr>
        <w:tabs>
          <w:tab w:val="left" w:pos="510"/>
        </w:tabs>
        <w:ind w:left="510" w:hanging="510"/>
      </w:pPr>
      <w:rPr>
        <w:rFonts w:hint="default" w:ascii="Times New Roman" w:hAnsi="Times New Roman"/>
        <w:b w:val="0"/>
        <w:i w:val="0"/>
        <w:color w:val="000000"/>
        <w:sz w:val="24"/>
        <w:u w:val="none" w:color="000000"/>
      </w:rPr>
    </w:lvl>
    <w:lvl w:ilvl="1" w:tentative="0">
      <w:start w:val="1"/>
      <w:numFmt w:val="decimal"/>
      <w:lvlText w:val="%2"/>
      <w:lvlJc w:val="left"/>
      <w:pPr>
        <w:tabs>
          <w:tab w:val="left" w:pos="0"/>
        </w:tabs>
        <w:ind w:left="0" w:firstLine="0"/>
      </w:pPr>
      <w:rPr>
        <w:rFonts w:hint="eastAsia"/>
        <w:b w:val="0"/>
        <w:i w:val="0"/>
        <w:color w:val="000000"/>
        <w:sz w:val="24"/>
        <w:u w:val="none" w:color="00000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000000B1"/>
    <w:multiLevelType w:val="multilevel"/>
    <w:tmpl w:val="000000B1"/>
    <w:lvl w:ilvl="0" w:tentative="0">
      <w:start w:val="1"/>
      <w:numFmt w:val="decimal"/>
      <w:lvlText w:val="(%1)"/>
      <w:lvlJc w:val="left"/>
      <w:pPr>
        <w:tabs>
          <w:tab w:val="left" w:pos="510"/>
        </w:tabs>
        <w:ind w:left="510" w:hanging="510"/>
      </w:pPr>
      <w:rPr>
        <w:b w:val="0"/>
        <w:i w:val="0"/>
        <w:color w:val="000000"/>
        <w:sz w:val="24"/>
        <w:szCs w:val="24"/>
        <w:u w:val="none" w:color="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000000CB"/>
    <w:multiLevelType w:val="multilevel"/>
    <w:tmpl w:val="000000CB"/>
    <w:lvl w:ilvl="0" w:tentative="0">
      <w:start w:val="1"/>
      <w:numFmt w:val="decimal"/>
      <w:lvlText w:val="(%1)."/>
      <w:lvlJc w:val="left"/>
      <w:pPr>
        <w:tabs>
          <w:tab w:val="left" w:pos="930"/>
        </w:tabs>
        <w:ind w:left="930" w:hanging="510"/>
      </w:pPr>
      <w:rPr>
        <w:rFonts w:hint="default" w:ascii="Times New Roman" w:hAnsi="Times New Roman" w:cs="Times New Roman"/>
        <w:b w:val="0"/>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0ABE8525"/>
    <w:multiLevelType w:val="singleLevel"/>
    <w:tmpl w:val="0ABE8525"/>
    <w:lvl w:ilvl="0" w:tentative="0">
      <w:start w:val="1"/>
      <w:numFmt w:val="decimal"/>
      <w:suff w:val="nothing"/>
      <w:lvlText w:val="（%1）"/>
      <w:lvlJc w:val="left"/>
    </w:lvl>
  </w:abstractNum>
  <w:abstractNum w:abstractNumId="32">
    <w:nsid w:val="1CB20665"/>
    <w:multiLevelType w:val="multilevel"/>
    <w:tmpl w:val="1CB20665"/>
    <w:lvl w:ilvl="0" w:tentative="0">
      <w:start w:val="1"/>
      <w:numFmt w:val="decimal"/>
      <w:lvlText w:val="(%1)"/>
      <w:lvlJc w:val="left"/>
      <w:pPr>
        <w:ind w:left="420" w:hanging="42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hint="default" w:ascii="Times New Roman" w:hAnsi="Times New Roman"/>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245101D5"/>
    <w:multiLevelType w:val="multilevel"/>
    <w:tmpl w:val="245101D5"/>
    <w:lvl w:ilvl="0" w:tentative="0">
      <w:start w:val="1"/>
      <w:numFmt w:val="decimal"/>
      <w:lvlText w:val="%1."/>
      <w:lvlJc w:val="left"/>
      <w:pPr>
        <w:tabs>
          <w:tab w:val="left" w:pos="510"/>
        </w:tabs>
        <w:ind w:left="510" w:hanging="51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276F51F5"/>
    <w:multiLevelType w:val="multilevel"/>
    <w:tmpl w:val="276F51F5"/>
    <w:lvl w:ilvl="0" w:tentative="0">
      <w:start w:val="1"/>
      <w:numFmt w:val="decimal"/>
      <w:lvlText w:val="2.%1"/>
      <w:lvlJc w:val="left"/>
      <w:pPr>
        <w:tabs>
          <w:tab w:val="left" w:pos="716"/>
        </w:tabs>
        <w:ind w:left="416" w:hanging="420"/>
      </w:pPr>
      <w:rPr>
        <w:rFonts w:hint="eastAsia"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508C5AC2"/>
    <w:multiLevelType w:val="multilevel"/>
    <w:tmpl w:val="508C5AC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60FF8961"/>
    <w:multiLevelType w:val="multilevel"/>
    <w:tmpl w:val="60FF8961"/>
    <w:lvl w:ilvl="0" w:tentative="0">
      <w:start w:val="1"/>
      <w:numFmt w:val="decimal"/>
      <w:lvlText w:val="%1."/>
      <w:lvlJc w:val="left"/>
      <w:pPr>
        <w:tabs>
          <w:tab w:val="left" w:pos="510"/>
        </w:tabs>
        <w:ind w:left="510" w:hanging="51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60FF8CC7"/>
    <w:multiLevelType w:val="singleLevel"/>
    <w:tmpl w:val="60FF8CC7"/>
    <w:lvl w:ilvl="0" w:tentative="0">
      <w:start w:val="1"/>
      <w:numFmt w:val="decimal"/>
      <w:lvlText w:val="(%1)"/>
      <w:lvlJc w:val="left"/>
      <w:pPr>
        <w:tabs>
          <w:tab w:val="left" w:pos="420"/>
        </w:tabs>
        <w:ind w:left="425" w:hanging="425"/>
      </w:pPr>
      <w:rPr>
        <w:rFonts w:hint="default"/>
      </w:rPr>
    </w:lvl>
  </w:abstractNum>
  <w:abstractNum w:abstractNumId="38">
    <w:nsid w:val="76D7781D"/>
    <w:multiLevelType w:val="multilevel"/>
    <w:tmpl w:val="76D7781D"/>
    <w:lvl w:ilvl="0" w:tentative="0">
      <w:start w:val="1"/>
      <w:numFmt w:val="decimal"/>
      <w:lvlText w:val="%1."/>
      <w:lvlJc w:val="left"/>
      <w:pPr>
        <w:tabs>
          <w:tab w:val="left" w:pos="510"/>
        </w:tabs>
        <w:ind w:left="510" w:hanging="51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8"/>
  </w:num>
  <w:num w:numId="2">
    <w:abstractNumId w:val="31"/>
  </w:num>
  <w:num w:numId="3">
    <w:abstractNumId w:val="28"/>
  </w:num>
  <w:num w:numId="4">
    <w:abstractNumId w:val="32"/>
  </w:num>
  <w:num w:numId="5">
    <w:abstractNumId w:val="35"/>
  </w:num>
  <w:num w:numId="6">
    <w:abstractNumId w:val="17"/>
  </w:num>
  <w:num w:numId="7">
    <w:abstractNumId w:val="16"/>
  </w:num>
  <w:num w:numId="8">
    <w:abstractNumId w:val="4"/>
  </w:num>
  <w:num w:numId="9">
    <w:abstractNumId w:val="8"/>
  </w:num>
  <w:num w:numId="10">
    <w:abstractNumId w:val="19"/>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2"/>
  </w:num>
  <w:num w:numId="24">
    <w:abstractNumId w:val="22"/>
  </w:num>
  <w:num w:numId="25">
    <w:abstractNumId w:val="21"/>
  </w:num>
  <w:num w:numId="26">
    <w:abstractNumId w:val="25"/>
  </w:num>
  <w:num w:numId="27">
    <w:abstractNumId w:val="34"/>
  </w:num>
  <w:num w:numId="28">
    <w:abstractNumId w:val="5"/>
  </w:num>
  <w:num w:numId="29">
    <w:abstractNumId w:val="7"/>
  </w:num>
  <w:num w:numId="30">
    <w:abstractNumId w:val="3"/>
  </w:num>
  <w:num w:numId="31">
    <w:abstractNumId w:val="27"/>
  </w:num>
  <w:num w:numId="32">
    <w:abstractNumId w:val="23"/>
  </w:num>
  <w:num w:numId="33">
    <w:abstractNumId w:val="6"/>
  </w:num>
  <w:num w:numId="34">
    <w:abstractNumId w:val="13"/>
  </w:num>
  <w:num w:numId="35">
    <w:abstractNumId w:val="9"/>
  </w:num>
  <w:num w:numId="36">
    <w:abstractNumId w:val="14"/>
  </w:num>
  <w:num w:numId="37">
    <w:abstractNumId w:val="2"/>
  </w:num>
  <w:num w:numId="38">
    <w:abstractNumId w:val="1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1ZmE2ZGQ0YmJkYzU2MzY3OTRiNmQ3NjEyYjZiNGUifQ=="/>
  </w:docVars>
  <w:rsids>
    <w:rsidRoot w:val="4B34570C"/>
    <w:rsid w:val="000251CB"/>
    <w:rsid w:val="00041A1E"/>
    <w:rsid w:val="0005176C"/>
    <w:rsid w:val="000722DF"/>
    <w:rsid w:val="000808CE"/>
    <w:rsid w:val="00083AA6"/>
    <w:rsid w:val="0008497C"/>
    <w:rsid w:val="00094CD0"/>
    <w:rsid w:val="000B2EB2"/>
    <w:rsid w:val="000B3585"/>
    <w:rsid w:val="000D7B86"/>
    <w:rsid w:val="000F7173"/>
    <w:rsid w:val="00105F8A"/>
    <w:rsid w:val="00112FA9"/>
    <w:rsid w:val="00114A3B"/>
    <w:rsid w:val="001201C5"/>
    <w:rsid w:val="00123D3A"/>
    <w:rsid w:val="0013571A"/>
    <w:rsid w:val="00143866"/>
    <w:rsid w:val="00144897"/>
    <w:rsid w:val="00184408"/>
    <w:rsid w:val="001B6923"/>
    <w:rsid w:val="001C7333"/>
    <w:rsid w:val="001C758D"/>
    <w:rsid w:val="001D11AD"/>
    <w:rsid w:val="001D145F"/>
    <w:rsid w:val="001F4797"/>
    <w:rsid w:val="002126BC"/>
    <w:rsid w:val="00223C2D"/>
    <w:rsid w:val="0023397A"/>
    <w:rsid w:val="00237EEF"/>
    <w:rsid w:val="002411EC"/>
    <w:rsid w:val="00254D4D"/>
    <w:rsid w:val="002559F4"/>
    <w:rsid w:val="002733B8"/>
    <w:rsid w:val="002B3536"/>
    <w:rsid w:val="002E3614"/>
    <w:rsid w:val="002E5117"/>
    <w:rsid w:val="00334027"/>
    <w:rsid w:val="0034072D"/>
    <w:rsid w:val="00357925"/>
    <w:rsid w:val="0038265C"/>
    <w:rsid w:val="003B2696"/>
    <w:rsid w:val="003D0F31"/>
    <w:rsid w:val="003F0062"/>
    <w:rsid w:val="00401850"/>
    <w:rsid w:val="00405B31"/>
    <w:rsid w:val="0041023C"/>
    <w:rsid w:val="00421BB2"/>
    <w:rsid w:val="00423C4D"/>
    <w:rsid w:val="004277C9"/>
    <w:rsid w:val="00433106"/>
    <w:rsid w:val="00453970"/>
    <w:rsid w:val="00462FE0"/>
    <w:rsid w:val="00465ADD"/>
    <w:rsid w:val="004756A6"/>
    <w:rsid w:val="00476F67"/>
    <w:rsid w:val="00477938"/>
    <w:rsid w:val="00496035"/>
    <w:rsid w:val="004A1F9B"/>
    <w:rsid w:val="004A2548"/>
    <w:rsid w:val="004C15BF"/>
    <w:rsid w:val="004C2CC2"/>
    <w:rsid w:val="004F52F4"/>
    <w:rsid w:val="005009A8"/>
    <w:rsid w:val="00505F29"/>
    <w:rsid w:val="005071A3"/>
    <w:rsid w:val="00534110"/>
    <w:rsid w:val="00547D05"/>
    <w:rsid w:val="00561797"/>
    <w:rsid w:val="0058262E"/>
    <w:rsid w:val="005A1D28"/>
    <w:rsid w:val="005B61BA"/>
    <w:rsid w:val="005C1584"/>
    <w:rsid w:val="005C560E"/>
    <w:rsid w:val="005F0188"/>
    <w:rsid w:val="005F753D"/>
    <w:rsid w:val="00636CB1"/>
    <w:rsid w:val="006373EB"/>
    <w:rsid w:val="00642B1F"/>
    <w:rsid w:val="006454AF"/>
    <w:rsid w:val="00674174"/>
    <w:rsid w:val="006A4098"/>
    <w:rsid w:val="006C054E"/>
    <w:rsid w:val="006C19D7"/>
    <w:rsid w:val="006F55ED"/>
    <w:rsid w:val="007061AB"/>
    <w:rsid w:val="0071091E"/>
    <w:rsid w:val="0074598C"/>
    <w:rsid w:val="00753461"/>
    <w:rsid w:val="007553F4"/>
    <w:rsid w:val="007622C3"/>
    <w:rsid w:val="007729C9"/>
    <w:rsid w:val="007B5069"/>
    <w:rsid w:val="007D0E74"/>
    <w:rsid w:val="007E271D"/>
    <w:rsid w:val="00846A57"/>
    <w:rsid w:val="00872B90"/>
    <w:rsid w:val="00873F20"/>
    <w:rsid w:val="0089321B"/>
    <w:rsid w:val="00893FD3"/>
    <w:rsid w:val="008A1DB9"/>
    <w:rsid w:val="008B0779"/>
    <w:rsid w:val="008C1144"/>
    <w:rsid w:val="008C6FFA"/>
    <w:rsid w:val="008D02CA"/>
    <w:rsid w:val="008E1835"/>
    <w:rsid w:val="008F58B3"/>
    <w:rsid w:val="00903B77"/>
    <w:rsid w:val="009174B5"/>
    <w:rsid w:val="009431CC"/>
    <w:rsid w:val="00944FEE"/>
    <w:rsid w:val="00950FE5"/>
    <w:rsid w:val="009561DA"/>
    <w:rsid w:val="00956CCE"/>
    <w:rsid w:val="00960A08"/>
    <w:rsid w:val="0096549D"/>
    <w:rsid w:val="009673B7"/>
    <w:rsid w:val="0099285D"/>
    <w:rsid w:val="009D4C7A"/>
    <w:rsid w:val="009E558A"/>
    <w:rsid w:val="009F2EEF"/>
    <w:rsid w:val="00A010AE"/>
    <w:rsid w:val="00A03EF6"/>
    <w:rsid w:val="00A0437C"/>
    <w:rsid w:val="00A16075"/>
    <w:rsid w:val="00A33891"/>
    <w:rsid w:val="00A36CBB"/>
    <w:rsid w:val="00A6509A"/>
    <w:rsid w:val="00A87BBC"/>
    <w:rsid w:val="00AA229A"/>
    <w:rsid w:val="00AA5E06"/>
    <w:rsid w:val="00AC1143"/>
    <w:rsid w:val="00AE3C91"/>
    <w:rsid w:val="00AE4230"/>
    <w:rsid w:val="00AF1D28"/>
    <w:rsid w:val="00B10291"/>
    <w:rsid w:val="00B12D05"/>
    <w:rsid w:val="00B26AA6"/>
    <w:rsid w:val="00B47652"/>
    <w:rsid w:val="00B65A29"/>
    <w:rsid w:val="00B8089F"/>
    <w:rsid w:val="00BA3803"/>
    <w:rsid w:val="00BA6FF2"/>
    <w:rsid w:val="00BA7C5E"/>
    <w:rsid w:val="00BB3600"/>
    <w:rsid w:val="00BC2025"/>
    <w:rsid w:val="00BC5FEC"/>
    <w:rsid w:val="00C1291A"/>
    <w:rsid w:val="00C15BD4"/>
    <w:rsid w:val="00C314FE"/>
    <w:rsid w:val="00C54DEF"/>
    <w:rsid w:val="00C975AC"/>
    <w:rsid w:val="00CA550D"/>
    <w:rsid w:val="00CC6041"/>
    <w:rsid w:val="00CD0378"/>
    <w:rsid w:val="00D12740"/>
    <w:rsid w:val="00D339E8"/>
    <w:rsid w:val="00D3645A"/>
    <w:rsid w:val="00D365B8"/>
    <w:rsid w:val="00D761AC"/>
    <w:rsid w:val="00D951FA"/>
    <w:rsid w:val="00D963F3"/>
    <w:rsid w:val="00DC2462"/>
    <w:rsid w:val="00DD40A3"/>
    <w:rsid w:val="00E2576E"/>
    <w:rsid w:val="00E45888"/>
    <w:rsid w:val="00E523CD"/>
    <w:rsid w:val="00E64CE5"/>
    <w:rsid w:val="00E8293C"/>
    <w:rsid w:val="00E857D9"/>
    <w:rsid w:val="00E87F38"/>
    <w:rsid w:val="00EA7271"/>
    <w:rsid w:val="00EB377F"/>
    <w:rsid w:val="00ED1D76"/>
    <w:rsid w:val="00F046DE"/>
    <w:rsid w:val="00F06DC4"/>
    <w:rsid w:val="00F17AF4"/>
    <w:rsid w:val="00F4586E"/>
    <w:rsid w:val="00F5660A"/>
    <w:rsid w:val="00F649BD"/>
    <w:rsid w:val="00F73114"/>
    <w:rsid w:val="00F73B18"/>
    <w:rsid w:val="00F86C53"/>
    <w:rsid w:val="00FA4735"/>
    <w:rsid w:val="00FB6DCF"/>
    <w:rsid w:val="00FD24E0"/>
    <w:rsid w:val="00FE272C"/>
    <w:rsid w:val="00FF5B80"/>
    <w:rsid w:val="010928BA"/>
    <w:rsid w:val="01217363"/>
    <w:rsid w:val="01285053"/>
    <w:rsid w:val="01536F8E"/>
    <w:rsid w:val="016D1252"/>
    <w:rsid w:val="01722330"/>
    <w:rsid w:val="01833168"/>
    <w:rsid w:val="018D6A2C"/>
    <w:rsid w:val="01910A08"/>
    <w:rsid w:val="01957D55"/>
    <w:rsid w:val="01973A0A"/>
    <w:rsid w:val="0198028B"/>
    <w:rsid w:val="01AB71A3"/>
    <w:rsid w:val="01B67A8F"/>
    <w:rsid w:val="01BF70AC"/>
    <w:rsid w:val="01ED5D8E"/>
    <w:rsid w:val="01FF5DB6"/>
    <w:rsid w:val="021166D3"/>
    <w:rsid w:val="02121FCC"/>
    <w:rsid w:val="022277F4"/>
    <w:rsid w:val="02595854"/>
    <w:rsid w:val="027C68FD"/>
    <w:rsid w:val="02801959"/>
    <w:rsid w:val="0283474D"/>
    <w:rsid w:val="02AB380A"/>
    <w:rsid w:val="02B71C73"/>
    <w:rsid w:val="02BC3862"/>
    <w:rsid w:val="02BF1D08"/>
    <w:rsid w:val="02C9244F"/>
    <w:rsid w:val="02F57CEF"/>
    <w:rsid w:val="031816DC"/>
    <w:rsid w:val="03666F38"/>
    <w:rsid w:val="03875CB8"/>
    <w:rsid w:val="038C316B"/>
    <w:rsid w:val="03A50979"/>
    <w:rsid w:val="03AA1318"/>
    <w:rsid w:val="03BE6BAF"/>
    <w:rsid w:val="03C963D0"/>
    <w:rsid w:val="03D603B1"/>
    <w:rsid w:val="03DE000A"/>
    <w:rsid w:val="03DF23CD"/>
    <w:rsid w:val="03FA7774"/>
    <w:rsid w:val="03FB59ED"/>
    <w:rsid w:val="04020ECE"/>
    <w:rsid w:val="04024FFA"/>
    <w:rsid w:val="0415637B"/>
    <w:rsid w:val="04245CA1"/>
    <w:rsid w:val="043473B9"/>
    <w:rsid w:val="043B10FF"/>
    <w:rsid w:val="043E3B3F"/>
    <w:rsid w:val="0479335F"/>
    <w:rsid w:val="048547E2"/>
    <w:rsid w:val="04873501"/>
    <w:rsid w:val="048C58FF"/>
    <w:rsid w:val="04A32B1D"/>
    <w:rsid w:val="04A54793"/>
    <w:rsid w:val="04AB6805"/>
    <w:rsid w:val="04BF06F5"/>
    <w:rsid w:val="04E60F50"/>
    <w:rsid w:val="04FA1C86"/>
    <w:rsid w:val="050111BD"/>
    <w:rsid w:val="050F242A"/>
    <w:rsid w:val="05122D2E"/>
    <w:rsid w:val="052922B7"/>
    <w:rsid w:val="052971A9"/>
    <w:rsid w:val="052C4E9B"/>
    <w:rsid w:val="05343E95"/>
    <w:rsid w:val="053D36F8"/>
    <w:rsid w:val="05802AD7"/>
    <w:rsid w:val="058F50C2"/>
    <w:rsid w:val="0597587F"/>
    <w:rsid w:val="05B775DF"/>
    <w:rsid w:val="05C954E5"/>
    <w:rsid w:val="05D27773"/>
    <w:rsid w:val="06054EC9"/>
    <w:rsid w:val="06197A0A"/>
    <w:rsid w:val="061F2DB1"/>
    <w:rsid w:val="063D737E"/>
    <w:rsid w:val="06450537"/>
    <w:rsid w:val="066237F9"/>
    <w:rsid w:val="066D5199"/>
    <w:rsid w:val="06A4021B"/>
    <w:rsid w:val="06D71B77"/>
    <w:rsid w:val="06FD2094"/>
    <w:rsid w:val="06FE691E"/>
    <w:rsid w:val="070557C4"/>
    <w:rsid w:val="07056D23"/>
    <w:rsid w:val="07185B29"/>
    <w:rsid w:val="072909BB"/>
    <w:rsid w:val="073247B4"/>
    <w:rsid w:val="07346204"/>
    <w:rsid w:val="073C1416"/>
    <w:rsid w:val="074F21AE"/>
    <w:rsid w:val="075E4CF7"/>
    <w:rsid w:val="076F3B03"/>
    <w:rsid w:val="077F67FA"/>
    <w:rsid w:val="07870C20"/>
    <w:rsid w:val="07AC4945"/>
    <w:rsid w:val="07B745E1"/>
    <w:rsid w:val="07BB788F"/>
    <w:rsid w:val="07F077CB"/>
    <w:rsid w:val="07F24C18"/>
    <w:rsid w:val="080B1F05"/>
    <w:rsid w:val="082A22F4"/>
    <w:rsid w:val="086230FE"/>
    <w:rsid w:val="088017D6"/>
    <w:rsid w:val="08893758"/>
    <w:rsid w:val="088F115B"/>
    <w:rsid w:val="0890069F"/>
    <w:rsid w:val="08BE3BE8"/>
    <w:rsid w:val="08C074AE"/>
    <w:rsid w:val="08DF6158"/>
    <w:rsid w:val="08E6293A"/>
    <w:rsid w:val="08EC4C76"/>
    <w:rsid w:val="09533265"/>
    <w:rsid w:val="095F2594"/>
    <w:rsid w:val="096B5E9E"/>
    <w:rsid w:val="096B7529"/>
    <w:rsid w:val="09832F25"/>
    <w:rsid w:val="098F24DE"/>
    <w:rsid w:val="09916128"/>
    <w:rsid w:val="09A564AA"/>
    <w:rsid w:val="09B77759"/>
    <w:rsid w:val="09C42C74"/>
    <w:rsid w:val="09D242DF"/>
    <w:rsid w:val="09D53AE5"/>
    <w:rsid w:val="09E5561B"/>
    <w:rsid w:val="09FB3D14"/>
    <w:rsid w:val="0A075D0B"/>
    <w:rsid w:val="0A1542AE"/>
    <w:rsid w:val="0A36214C"/>
    <w:rsid w:val="0A362BD2"/>
    <w:rsid w:val="0A382D8F"/>
    <w:rsid w:val="0A3B3C06"/>
    <w:rsid w:val="0A42446B"/>
    <w:rsid w:val="0A4310B2"/>
    <w:rsid w:val="0A441356"/>
    <w:rsid w:val="0A497BA3"/>
    <w:rsid w:val="0A5E63EB"/>
    <w:rsid w:val="0A885FDE"/>
    <w:rsid w:val="0A88711B"/>
    <w:rsid w:val="0A9007DB"/>
    <w:rsid w:val="0A9B18C8"/>
    <w:rsid w:val="0A9B5F5E"/>
    <w:rsid w:val="0AC37758"/>
    <w:rsid w:val="0AD70877"/>
    <w:rsid w:val="0AE62C03"/>
    <w:rsid w:val="0B0403C8"/>
    <w:rsid w:val="0B41054B"/>
    <w:rsid w:val="0B5434FF"/>
    <w:rsid w:val="0B562520"/>
    <w:rsid w:val="0B574FAC"/>
    <w:rsid w:val="0B5D735B"/>
    <w:rsid w:val="0B731858"/>
    <w:rsid w:val="0B76485A"/>
    <w:rsid w:val="0B7C5A8D"/>
    <w:rsid w:val="0B81389B"/>
    <w:rsid w:val="0B8D399C"/>
    <w:rsid w:val="0B9907CF"/>
    <w:rsid w:val="0BB22716"/>
    <w:rsid w:val="0BC0538D"/>
    <w:rsid w:val="0BD023CB"/>
    <w:rsid w:val="0C093DA4"/>
    <w:rsid w:val="0C0F7A68"/>
    <w:rsid w:val="0C1F5EDC"/>
    <w:rsid w:val="0C231F55"/>
    <w:rsid w:val="0C337604"/>
    <w:rsid w:val="0C36377F"/>
    <w:rsid w:val="0C3F79C7"/>
    <w:rsid w:val="0C8552BC"/>
    <w:rsid w:val="0C8F3D96"/>
    <w:rsid w:val="0C9C75E1"/>
    <w:rsid w:val="0CA7531D"/>
    <w:rsid w:val="0CCB41BC"/>
    <w:rsid w:val="0CD048B9"/>
    <w:rsid w:val="0CDA1CE0"/>
    <w:rsid w:val="0CDE30F4"/>
    <w:rsid w:val="0CEA3B4A"/>
    <w:rsid w:val="0CFE46F5"/>
    <w:rsid w:val="0D12144E"/>
    <w:rsid w:val="0D262E44"/>
    <w:rsid w:val="0D3037CB"/>
    <w:rsid w:val="0D3E1021"/>
    <w:rsid w:val="0D411A9E"/>
    <w:rsid w:val="0D455853"/>
    <w:rsid w:val="0D817BAB"/>
    <w:rsid w:val="0D83066D"/>
    <w:rsid w:val="0D831647"/>
    <w:rsid w:val="0D8A460E"/>
    <w:rsid w:val="0DA50A51"/>
    <w:rsid w:val="0DC06AB6"/>
    <w:rsid w:val="0DC33B5A"/>
    <w:rsid w:val="0DC94682"/>
    <w:rsid w:val="0E0F04E4"/>
    <w:rsid w:val="0E937B1D"/>
    <w:rsid w:val="0E9C5069"/>
    <w:rsid w:val="0EA615AE"/>
    <w:rsid w:val="0EAB4ED8"/>
    <w:rsid w:val="0EB57EAB"/>
    <w:rsid w:val="0EC20452"/>
    <w:rsid w:val="0ECB74A6"/>
    <w:rsid w:val="0F0E55D2"/>
    <w:rsid w:val="0F2F0617"/>
    <w:rsid w:val="0F332F4E"/>
    <w:rsid w:val="0F4C6794"/>
    <w:rsid w:val="0F5512C6"/>
    <w:rsid w:val="0F6E7E7A"/>
    <w:rsid w:val="0F710AC0"/>
    <w:rsid w:val="0F7D6FDE"/>
    <w:rsid w:val="0F8471AD"/>
    <w:rsid w:val="0F8A0A45"/>
    <w:rsid w:val="0F9A6749"/>
    <w:rsid w:val="0FCB4A94"/>
    <w:rsid w:val="0FDF5125"/>
    <w:rsid w:val="0FF26B15"/>
    <w:rsid w:val="0FF413D2"/>
    <w:rsid w:val="10074FEA"/>
    <w:rsid w:val="100B7374"/>
    <w:rsid w:val="1032730A"/>
    <w:rsid w:val="103659DF"/>
    <w:rsid w:val="10447C4B"/>
    <w:rsid w:val="10472B33"/>
    <w:rsid w:val="105E23FD"/>
    <w:rsid w:val="106F566A"/>
    <w:rsid w:val="108A276B"/>
    <w:rsid w:val="10B75426"/>
    <w:rsid w:val="10C335C0"/>
    <w:rsid w:val="110179D4"/>
    <w:rsid w:val="110E1D8B"/>
    <w:rsid w:val="111156C1"/>
    <w:rsid w:val="1119314B"/>
    <w:rsid w:val="11225E69"/>
    <w:rsid w:val="113B3FD5"/>
    <w:rsid w:val="115D52A7"/>
    <w:rsid w:val="115E64EF"/>
    <w:rsid w:val="116F3BB8"/>
    <w:rsid w:val="11754D97"/>
    <w:rsid w:val="11802166"/>
    <w:rsid w:val="118D31F3"/>
    <w:rsid w:val="11942BA5"/>
    <w:rsid w:val="11980715"/>
    <w:rsid w:val="119857F2"/>
    <w:rsid w:val="11A84E49"/>
    <w:rsid w:val="11AE0EEB"/>
    <w:rsid w:val="11AF2F90"/>
    <w:rsid w:val="11B542C3"/>
    <w:rsid w:val="11CE693D"/>
    <w:rsid w:val="11DD6B09"/>
    <w:rsid w:val="11E926F6"/>
    <w:rsid w:val="11EC305C"/>
    <w:rsid w:val="11EC7E05"/>
    <w:rsid w:val="11F53E59"/>
    <w:rsid w:val="11FD6ABD"/>
    <w:rsid w:val="121360D8"/>
    <w:rsid w:val="12614621"/>
    <w:rsid w:val="128D4ACE"/>
    <w:rsid w:val="12902B67"/>
    <w:rsid w:val="12B2037A"/>
    <w:rsid w:val="12B5402E"/>
    <w:rsid w:val="12D84A21"/>
    <w:rsid w:val="12E84B97"/>
    <w:rsid w:val="12FB23E2"/>
    <w:rsid w:val="130F1F4E"/>
    <w:rsid w:val="13100E53"/>
    <w:rsid w:val="131D784E"/>
    <w:rsid w:val="13253389"/>
    <w:rsid w:val="134B12BD"/>
    <w:rsid w:val="13572D19"/>
    <w:rsid w:val="136415FC"/>
    <w:rsid w:val="136751A2"/>
    <w:rsid w:val="136C067D"/>
    <w:rsid w:val="138C0C55"/>
    <w:rsid w:val="138F127E"/>
    <w:rsid w:val="13964017"/>
    <w:rsid w:val="139C24E0"/>
    <w:rsid w:val="13BE58C4"/>
    <w:rsid w:val="13C63E88"/>
    <w:rsid w:val="13F324C7"/>
    <w:rsid w:val="1410477D"/>
    <w:rsid w:val="141F51DF"/>
    <w:rsid w:val="14241F63"/>
    <w:rsid w:val="1435559E"/>
    <w:rsid w:val="143607D1"/>
    <w:rsid w:val="144E132B"/>
    <w:rsid w:val="14690671"/>
    <w:rsid w:val="14737E94"/>
    <w:rsid w:val="147D5A48"/>
    <w:rsid w:val="148A5875"/>
    <w:rsid w:val="14A51FB8"/>
    <w:rsid w:val="14B9501B"/>
    <w:rsid w:val="14BE6C57"/>
    <w:rsid w:val="14DB31D1"/>
    <w:rsid w:val="14DB5137"/>
    <w:rsid w:val="14FE6971"/>
    <w:rsid w:val="15022B89"/>
    <w:rsid w:val="1530419A"/>
    <w:rsid w:val="15304489"/>
    <w:rsid w:val="153C7384"/>
    <w:rsid w:val="153F1BC0"/>
    <w:rsid w:val="15552830"/>
    <w:rsid w:val="155F42A1"/>
    <w:rsid w:val="15632F90"/>
    <w:rsid w:val="15681F5E"/>
    <w:rsid w:val="156A7498"/>
    <w:rsid w:val="156D357B"/>
    <w:rsid w:val="15747730"/>
    <w:rsid w:val="157717FD"/>
    <w:rsid w:val="15844CE9"/>
    <w:rsid w:val="158F4119"/>
    <w:rsid w:val="15CE2DD8"/>
    <w:rsid w:val="15D47163"/>
    <w:rsid w:val="15D855E9"/>
    <w:rsid w:val="15DF6138"/>
    <w:rsid w:val="15E01837"/>
    <w:rsid w:val="15F23FD8"/>
    <w:rsid w:val="15FF749D"/>
    <w:rsid w:val="16015A81"/>
    <w:rsid w:val="16107318"/>
    <w:rsid w:val="161F262E"/>
    <w:rsid w:val="16220A25"/>
    <w:rsid w:val="163607CA"/>
    <w:rsid w:val="16577E27"/>
    <w:rsid w:val="167A07E4"/>
    <w:rsid w:val="1699136A"/>
    <w:rsid w:val="16A85F79"/>
    <w:rsid w:val="16AD0238"/>
    <w:rsid w:val="16C513AF"/>
    <w:rsid w:val="16D550DC"/>
    <w:rsid w:val="16DA6555"/>
    <w:rsid w:val="16E11738"/>
    <w:rsid w:val="17106B19"/>
    <w:rsid w:val="17257DD6"/>
    <w:rsid w:val="172A355C"/>
    <w:rsid w:val="172C1C08"/>
    <w:rsid w:val="17346F48"/>
    <w:rsid w:val="17672EF9"/>
    <w:rsid w:val="1773658C"/>
    <w:rsid w:val="177C4F05"/>
    <w:rsid w:val="17895FD3"/>
    <w:rsid w:val="17C5136F"/>
    <w:rsid w:val="17D45540"/>
    <w:rsid w:val="17E859EF"/>
    <w:rsid w:val="17EB35E9"/>
    <w:rsid w:val="17EF4AAC"/>
    <w:rsid w:val="17F115A0"/>
    <w:rsid w:val="17FE5823"/>
    <w:rsid w:val="18275626"/>
    <w:rsid w:val="185C0673"/>
    <w:rsid w:val="185D7190"/>
    <w:rsid w:val="186F15EB"/>
    <w:rsid w:val="18A11337"/>
    <w:rsid w:val="18A474F7"/>
    <w:rsid w:val="18BE2B86"/>
    <w:rsid w:val="18C952B2"/>
    <w:rsid w:val="18CD0FA6"/>
    <w:rsid w:val="18DE0C31"/>
    <w:rsid w:val="18DE4FC5"/>
    <w:rsid w:val="18EB79A1"/>
    <w:rsid w:val="18EC14CE"/>
    <w:rsid w:val="19053B36"/>
    <w:rsid w:val="19371A3D"/>
    <w:rsid w:val="19402E11"/>
    <w:rsid w:val="19416E5F"/>
    <w:rsid w:val="196E14A2"/>
    <w:rsid w:val="196F012E"/>
    <w:rsid w:val="19834E21"/>
    <w:rsid w:val="198B6246"/>
    <w:rsid w:val="19AB0858"/>
    <w:rsid w:val="19AD6548"/>
    <w:rsid w:val="19CD076C"/>
    <w:rsid w:val="19D8661D"/>
    <w:rsid w:val="19E4496A"/>
    <w:rsid w:val="19E716B5"/>
    <w:rsid w:val="19F81B31"/>
    <w:rsid w:val="1A1B135F"/>
    <w:rsid w:val="1A227DAD"/>
    <w:rsid w:val="1A331F9B"/>
    <w:rsid w:val="1A3537A8"/>
    <w:rsid w:val="1A4B613D"/>
    <w:rsid w:val="1A64457B"/>
    <w:rsid w:val="1A691C88"/>
    <w:rsid w:val="1A920691"/>
    <w:rsid w:val="1AB300D0"/>
    <w:rsid w:val="1AB54523"/>
    <w:rsid w:val="1ACF3565"/>
    <w:rsid w:val="1AE7638C"/>
    <w:rsid w:val="1AED35EA"/>
    <w:rsid w:val="1AFC6056"/>
    <w:rsid w:val="1AFD5410"/>
    <w:rsid w:val="1B04568A"/>
    <w:rsid w:val="1B126137"/>
    <w:rsid w:val="1B1B06D9"/>
    <w:rsid w:val="1B1D5AC2"/>
    <w:rsid w:val="1B23348F"/>
    <w:rsid w:val="1B3D5760"/>
    <w:rsid w:val="1B446693"/>
    <w:rsid w:val="1BBB609A"/>
    <w:rsid w:val="1BC33C2A"/>
    <w:rsid w:val="1BD47F7D"/>
    <w:rsid w:val="1BD712B5"/>
    <w:rsid w:val="1BE21963"/>
    <w:rsid w:val="1BE745E9"/>
    <w:rsid w:val="1BF43EC1"/>
    <w:rsid w:val="1C0861B2"/>
    <w:rsid w:val="1C0E22E4"/>
    <w:rsid w:val="1C3E4674"/>
    <w:rsid w:val="1C3F4B6B"/>
    <w:rsid w:val="1C5128E5"/>
    <w:rsid w:val="1C8A4688"/>
    <w:rsid w:val="1C930EAF"/>
    <w:rsid w:val="1CD656FC"/>
    <w:rsid w:val="1CF7646D"/>
    <w:rsid w:val="1D1E6063"/>
    <w:rsid w:val="1D2D3FF9"/>
    <w:rsid w:val="1D460293"/>
    <w:rsid w:val="1D6246CA"/>
    <w:rsid w:val="1D887B3B"/>
    <w:rsid w:val="1DAB1E82"/>
    <w:rsid w:val="1E2F558B"/>
    <w:rsid w:val="1E6E346E"/>
    <w:rsid w:val="1E8F52DF"/>
    <w:rsid w:val="1E911863"/>
    <w:rsid w:val="1EAE287A"/>
    <w:rsid w:val="1EC207E6"/>
    <w:rsid w:val="1EC71A74"/>
    <w:rsid w:val="1ED42EAC"/>
    <w:rsid w:val="1ED82EFC"/>
    <w:rsid w:val="1ED975BC"/>
    <w:rsid w:val="1EE935DC"/>
    <w:rsid w:val="1EF938E6"/>
    <w:rsid w:val="1F024DBB"/>
    <w:rsid w:val="1F101D99"/>
    <w:rsid w:val="1F117043"/>
    <w:rsid w:val="1F1C595D"/>
    <w:rsid w:val="1F327BEB"/>
    <w:rsid w:val="1F3F4B64"/>
    <w:rsid w:val="1F5A6AA5"/>
    <w:rsid w:val="1F645032"/>
    <w:rsid w:val="1F727E59"/>
    <w:rsid w:val="1F74277B"/>
    <w:rsid w:val="1F916748"/>
    <w:rsid w:val="1F976DBA"/>
    <w:rsid w:val="1FDB7532"/>
    <w:rsid w:val="20095E0D"/>
    <w:rsid w:val="20240AAD"/>
    <w:rsid w:val="202C4C80"/>
    <w:rsid w:val="20363609"/>
    <w:rsid w:val="2042282F"/>
    <w:rsid w:val="204944BF"/>
    <w:rsid w:val="206237D5"/>
    <w:rsid w:val="20696DBD"/>
    <w:rsid w:val="206A59E4"/>
    <w:rsid w:val="20A658EC"/>
    <w:rsid w:val="20AA343C"/>
    <w:rsid w:val="20B75394"/>
    <w:rsid w:val="20BE27CB"/>
    <w:rsid w:val="20C949A0"/>
    <w:rsid w:val="20CF1272"/>
    <w:rsid w:val="20D115B6"/>
    <w:rsid w:val="20D67D8D"/>
    <w:rsid w:val="20E13F25"/>
    <w:rsid w:val="20E44347"/>
    <w:rsid w:val="20F93691"/>
    <w:rsid w:val="21377B70"/>
    <w:rsid w:val="213B296F"/>
    <w:rsid w:val="21402619"/>
    <w:rsid w:val="21642A8A"/>
    <w:rsid w:val="216B2BCB"/>
    <w:rsid w:val="2181419D"/>
    <w:rsid w:val="21AB3C99"/>
    <w:rsid w:val="21BA0DF6"/>
    <w:rsid w:val="21BF6BFA"/>
    <w:rsid w:val="21C61854"/>
    <w:rsid w:val="21CF5583"/>
    <w:rsid w:val="21D14677"/>
    <w:rsid w:val="21D3033F"/>
    <w:rsid w:val="21E03C1E"/>
    <w:rsid w:val="21E540A5"/>
    <w:rsid w:val="221F7512"/>
    <w:rsid w:val="22223CCF"/>
    <w:rsid w:val="224263EC"/>
    <w:rsid w:val="22454463"/>
    <w:rsid w:val="22493FFF"/>
    <w:rsid w:val="22883D08"/>
    <w:rsid w:val="22AB2CA9"/>
    <w:rsid w:val="22C52DAD"/>
    <w:rsid w:val="22C568C2"/>
    <w:rsid w:val="22DA49E3"/>
    <w:rsid w:val="22EB43CC"/>
    <w:rsid w:val="22EE58A4"/>
    <w:rsid w:val="22F47302"/>
    <w:rsid w:val="233D630E"/>
    <w:rsid w:val="23466F17"/>
    <w:rsid w:val="23481F44"/>
    <w:rsid w:val="236F0D88"/>
    <w:rsid w:val="239A09B8"/>
    <w:rsid w:val="23BA3BEB"/>
    <w:rsid w:val="23C52F0E"/>
    <w:rsid w:val="23E17599"/>
    <w:rsid w:val="23E202A2"/>
    <w:rsid w:val="23E3478A"/>
    <w:rsid w:val="23EB7FBE"/>
    <w:rsid w:val="24007C17"/>
    <w:rsid w:val="240935F6"/>
    <w:rsid w:val="240949DD"/>
    <w:rsid w:val="240B0E41"/>
    <w:rsid w:val="24120096"/>
    <w:rsid w:val="245509E6"/>
    <w:rsid w:val="245E4C04"/>
    <w:rsid w:val="247D3984"/>
    <w:rsid w:val="24827BF5"/>
    <w:rsid w:val="248C7E30"/>
    <w:rsid w:val="249259F9"/>
    <w:rsid w:val="24D13BAA"/>
    <w:rsid w:val="24D94879"/>
    <w:rsid w:val="24DB05F0"/>
    <w:rsid w:val="252D023D"/>
    <w:rsid w:val="25341526"/>
    <w:rsid w:val="254B1E75"/>
    <w:rsid w:val="255D3593"/>
    <w:rsid w:val="2565422B"/>
    <w:rsid w:val="2580476C"/>
    <w:rsid w:val="258952D8"/>
    <w:rsid w:val="25A523B0"/>
    <w:rsid w:val="25A62EC3"/>
    <w:rsid w:val="25AB5AAD"/>
    <w:rsid w:val="25B668A4"/>
    <w:rsid w:val="25C75BEF"/>
    <w:rsid w:val="25F55AAD"/>
    <w:rsid w:val="261955ED"/>
    <w:rsid w:val="261E3438"/>
    <w:rsid w:val="262F1BEA"/>
    <w:rsid w:val="262F4B27"/>
    <w:rsid w:val="262F59FD"/>
    <w:rsid w:val="263B4D6F"/>
    <w:rsid w:val="26496A8A"/>
    <w:rsid w:val="26521053"/>
    <w:rsid w:val="26555993"/>
    <w:rsid w:val="265D4D9A"/>
    <w:rsid w:val="2666570F"/>
    <w:rsid w:val="266A18D4"/>
    <w:rsid w:val="266C4F55"/>
    <w:rsid w:val="2694142A"/>
    <w:rsid w:val="269719BA"/>
    <w:rsid w:val="26A74667"/>
    <w:rsid w:val="26AB4518"/>
    <w:rsid w:val="26D20F83"/>
    <w:rsid w:val="26E40BF3"/>
    <w:rsid w:val="26F27BDF"/>
    <w:rsid w:val="27061F79"/>
    <w:rsid w:val="272158FA"/>
    <w:rsid w:val="272555CB"/>
    <w:rsid w:val="27392854"/>
    <w:rsid w:val="273E6F88"/>
    <w:rsid w:val="274E1FA9"/>
    <w:rsid w:val="277950E5"/>
    <w:rsid w:val="277A2F85"/>
    <w:rsid w:val="278B6531"/>
    <w:rsid w:val="27974F81"/>
    <w:rsid w:val="27A014B5"/>
    <w:rsid w:val="27CF59AD"/>
    <w:rsid w:val="27E93E7C"/>
    <w:rsid w:val="27ED6A8E"/>
    <w:rsid w:val="27F11F3C"/>
    <w:rsid w:val="28270C1E"/>
    <w:rsid w:val="282A7F20"/>
    <w:rsid w:val="282B7AF2"/>
    <w:rsid w:val="283060D7"/>
    <w:rsid w:val="283852AB"/>
    <w:rsid w:val="28587333"/>
    <w:rsid w:val="286E5DEA"/>
    <w:rsid w:val="28702322"/>
    <w:rsid w:val="287F7749"/>
    <w:rsid w:val="28981845"/>
    <w:rsid w:val="28B60DB7"/>
    <w:rsid w:val="28C61D7B"/>
    <w:rsid w:val="28D10366"/>
    <w:rsid w:val="28FE0B99"/>
    <w:rsid w:val="291861CB"/>
    <w:rsid w:val="29233AD7"/>
    <w:rsid w:val="293154BF"/>
    <w:rsid w:val="295959C1"/>
    <w:rsid w:val="296E15F8"/>
    <w:rsid w:val="297D511C"/>
    <w:rsid w:val="29987219"/>
    <w:rsid w:val="299C19A4"/>
    <w:rsid w:val="29C0782D"/>
    <w:rsid w:val="29D63847"/>
    <w:rsid w:val="29F22C44"/>
    <w:rsid w:val="2A173E9C"/>
    <w:rsid w:val="2A1D2082"/>
    <w:rsid w:val="2A72760F"/>
    <w:rsid w:val="2A730F5B"/>
    <w:rsid w:val="2A745487"/>
    <w:rsid w:val="2A817EF5"/>
    <w:rsid w:val="2A82488B"/>
    <w:rsid w:val="2A955187"/>
    <w:rsid w:val="2A996A95"/>
    <w:rsid w:val="2A9A7FC3"/>
    <w:rsid w:val="2AA8398C"/>
    <w:rsid w:val="2ABC5771"/>
    <w:rsid w:val="2ABF4578"/>
    <w:rsid w:val="2AC225EF"/>
    <w:rsid w:val="2AD30DBE"/>
    <w:rsid w:val="2AE5493E"/>
    <w:rsid w:val="2B160E1F"/>
    <w:rsid w:val="2B175B35"/>
    <w:rsid w:val="2B1913AF"/>
    <w:rsid w:val="2B474589"/>
    <w:rsid w:val="2B4C309E"/>
    <w:rsid w:val="2B4C4D6C"/>
    <w:rsid w:val="2B4D1ED6"/>
    <w:rsid w:val="2B683FC7"/>
    <w:rsid w:val="2B851121"/>
    <w:rsid w:val="2B8965F5"/>
    <w:rsid w:val="2B8A407D"/>
    <w:rsid w:val="2B916953"/>
    <w:rsid w:val="2B987FA6"/>
    <w:rsid w:val="2B993437"/>
    <w:rsid w:val="2BAF38F4"/>
    <w:rsid w:val="2BB0214E"/>
    <w:rsid w:val="2BBA09D7"/>
    <w:rsid w:val="2BFB186F"/>
    <w:rsid w:val="2C152843"/>
    <w:rsid w:val="2C46226B"/>
    <w:rsid w:val="2C517AFD"/>
    <w:rsid w:val="2C526F22"/>
    <w:rsid w:val="2C721E17"/>
    <w:rsid w:val="2C846C3C"/>
    <w:rsid w:val="2C894F44"/>
    <w:rsid w:val="2C8C1320"/>
    <w:rsid w:val="2C9253D0"/>
    <w:rsid w:val="2C955D75"/>
    <w:rsid w:val="2C9E3C26"/>
    <w:rsid w:val="2CA03FF7"/>
    <w:rsid w:val="2CA67051"/>
    <w:rsid w:val="2CA84CBB"/>
    <w:rsid w:val="2CAF00B8"/>
    <w:rsid w:val="2CBF03A1"/>
    <w:rsid w:val="2CEB696E"/>
    <w:rsid w:val="2CF1735A"/>
    <w:rsid w:val="2CF363E0"/>
    <w:rsid w:val="2D0B67BA"/>
    <w:rsid w:val="2D42263C"/>
    <w:rsid w:val="2D5269EE"/>
    <w:rsid w:val="2D8D3E9E"/>
    <w:rsid w:val="2D9D4378"/>
    <w:rsid w:val="2DB1045A"/>
    <w:rsid w:val="2DB14BDC"/>
    <w:rsid w:val="2DB42C49"/>
    <w:rsid w:val="2DBB5BA6"/>
    <w:rsid w:val="2DC05160"/>
    <w:rsid w:val="2DCD1F2D"/>
    <w:rsid w:val="2DD03601"/>
    <w:rsid w:val="2DE023C1"/>
    <w:rsid w:val="2DE65D89"/>
    <w:rsid w:val="2DEC0BF0"/>
    <w:rsid w:val="2E0834DB"/>
    <w:rsid w:val="2E2058A2"/>
    <w:rsid w:val="2E276149"/>
    <w:rsid w:val="2E4A2127"/>
    <w:rsid w:val="2E4C3A38"/>
    <w:rsid w:val="2E6C15F6"/>
    <w:rsid w:val="2E7C2A82"/>
    <w:rsid w:val="2EEF07E9"/>
    <w:rsid w:val="2EF8441E"/>
    <w:rsid w:val="2EFE3FF7"/>
    <w:rsid w:val="2EFE5EF0"/>
    <w:rsid w:val="2EFF0FAA"/>
    <w:rsid w:val="2F1A178D"/>
    <w:rsid w:val="2F46733F"/>
    <w:rsid w:val="2F5469A3"/>
    <w:rsid w:val="2F64423D"/>
    <w:rsid w:val="2F785584"/>
    <w:rsid w:val="2FA01572"/>
    <w:rsid w:val="2FD43C4F"/>
    <w:rsid w:val="2FD659FE"/>
    <w:rsid w:val="2FE91418"/>
    <w:rsid w:val="2FEE1F84"/>
    <w:rsid w:val="30082C27"/>
    <w:rsid w:val="301A1A41"/>
    <w:rsid w:val="30456C76"/>
    <w:rsid w:val="30515A70"/>
    <w:rsid w:val="306110F9"/>
    <w:rsid w:val="30642A6D"/>
    <w:rsid w:val="306A5BB3"/>
    <w:rsid w:val="306D6A21"/>
    <w:rsid w:val="30895C0F"/>
    <w:rsid w:val="308D69C7"/>
    <w:rsid w:val="30902914"/>
    <w:rsid w:val="30930266"/>
    <w:rsid w:val="30A54AAF"/>
    <w:rsid w:val="30B9213C"/>
    <w:rsid w:val="30C27EC5"/>
    <w:rsid w:val="30CA3AA9"/>
    <w:rsid w:val="30CC4D09"/>
    <w:rsid w:val="30D429D6"/>
    <w:rsid w:val="30EE21F9"/>
    <w:rsid w:val="311E5A7E"/>
    <w:rsid w:val="312F4560"/>
    <w:rsid w:val="31450CB3"/>
    <w:rsid w:val="31460CFD"/>
    <w:rsid w:val="31514252"/>
    <w:rsid w:val="3193578A"/>
    <w:rsid w:val="31AC6BBF"/>
    <w:rsid w:val="31AD3D54"/>
    <w:rsid w:val="31B01A25"/>
    <w:rsid w:val="31C75A6F"/>
    <w:rsid w:val="31CA42CE"/>
    <w:rsid w:val="31F86897"/>
    <w:rsid w:val="32181014"/>
    <w:rsid w:val="32285E92"/>
    <w:rsid w:val="322B22A3"/>
    <w:rsid w:val="32335537"/>
    <w:rsid w:val="3236701A"/>
    <w:rsid w:val="323D6F56"/>
    <w:rsid w:val="32434741"/>
    <w:rsid w:val="32480E9C"/>
    <w:rsid w:val="328358B0"/>
    <w:rsid w:val="328E7F83"/>
    <w:rsid w:val="32A74AE4"/>
    <w:rsid w:val="32A800DE"/>
    <w:rsid w:val="32B82779"/>
    <w:rsid w:val="32C44EF2"/>
    <w:rsid w:val="32CD4809"/>
    <w:rsid w:val="32CE1F13"/>
    <w:rsid w:val="32D06433"/>
    <w:rsid w:val="32E96520"/>
    <w:rsid w:val="32F2046A"/>
    <w:rsid w:val="32F5471F"/>
    <w:rsid w:val="32FB2241"/>
    <w:rsid w:val="330D584A"/>
    <w:rsid w:val="33100BD2"/>
    <w:rsid w:val="331C0DEE"/>
    <w:rsid w:val="33477044"/>
    <w:rsid w:val="334779B6"/>
    <w:rsid w:val="3355663D"/>
    <w:rsid w:val="336816DF"/>
    <w:rsid w:val="33C36A94"/>
    <w:rsid w:val="33C94B0D"/>
    <w:rsid w:val="341B31CE"/>
    <w:rsid w:val="344656B5"/>
    <w:rsid w:val="34605B8D"/>
    <w:rsid w:val="346234DC"/>
    <w:rsid w:val="34893D8B"/>
    <w:rsid w:val="348A2F11"/>
    <w:rsid w:val="348D5BC2"/>
    <w:rsid w:val="34911AE1"/>
    <w:rsid w:val="34E44451"/>
    <w:rsid w:val="34FE58B1"/>
    <w:rsid w:val="350D6D0D"/>
    <w:rsid w:val="35296388"/>
    <w:rsid w:val="35366D70"/>
    <w:rsid w:val="35854345"/>
    <w:rsid w:val="35A57536"/>
    <w:rsid w:val="35AA668E"/>
    <w:rsid w:val="35C73CFA"/>
    <w:rsid w:val="35C91817"/>
    <w:rsid w:val="366C3159"/>
    <w:rsid w:val="367E6AA5"/>
    <w:rsid w:val="367F5827"/>
    <w:rsid w:val="36871A39"/>
    <w:rsid w:val="36915533"/>
    <w:rsid w:val="36951815"/>
    <w:rsid w:val="36B843A1"/>
    <w:rsid w:val="36CE38B3"/>
    <w:rsid w:val="3702199F"/>
    <w:rsid w:val="37021B93"/>
    <w:rsid w:val="370276FA"/>
    <w:rsid w:val="3730725B"/>
    <w:rsid w:val="373A5D36"/>
    <w:rsid w:val="37456BDA"/>
    <w:rsid w:val="37500A19"/>
    <w:rsid w:val="37521DA3"/>
    <w:rsid w:val="37711607"/>
    <w:rsid w:val="3781236E"/>
    <w:rsid w:val="3784303D"/>
    <w:rsid w:val="37945714"/>
    <w:rsid w:val="37A417A7"/>
    <w:rsid w:val="37A878C8"/>
    <w:rsid w:val="37AE6F16"/>
    <w:rsid w:val="37D90D5C"/>
    <w:rsid w:val="37FB3621"/>
    <w:rsid w:val="37FE6EE5"/>
    <w:rsid w:val="38044B8E"/>
    <w:rsid w:val="38141050"/>
    <w:rsid w:val="381A354D"/>
    <w:rsid w:val="38204F4F"/>
    <w:rsid w:val="382107BB"/>
    <w:rsid w:val="3826720E"/>
    <w:rsid w:val="383C7620"/>
    <w:rsid w:val="38450EB8"/>
    <w:rsid w:val="38512FE5"/>
    <w:rsid w:val="386034A9"/>
    <w:rsid w:val="386F3AB4"/>
    <w:rsid w:val="387A73B8"/>
    <w:rsid w:val="388F0AF6"/>
    <w:rsid w:val="38924C10"/>
    <w:rsid w:val="389B0ED9"/>
    <w:rsid w:val="38AA1B73"/>
    <w:rsid w:val="38DB52B5"/>
    <w:rsid w:val="39090AB1"/>
    <w:rsid w:val="391536F1"/>
    <w:rsid w:val="391A63CC"/>
    <w:rsid w:val="392256F0"/>
    <w:rsid w:val="392342AA"/>
    <w:rsid w:val="392D008A"/>
    <w:rsid w:val="393343BA"/>
    <w:rsid w:val="394A5EF4"/>
    <w:rsid w:val="394F22A7"/>
    <w:rsid w:val="395B2DE3"/>
    <w:rsid w:val="395E5205"/>
    <w:rsid w:val="396401D4"/>
    <w:rsid w:val="396831C7"/>
    <w:rsid w:val="39684975"/>
    <w:rsid w:val="396C4DDD"/>
    <w:rsid w:val="39725898"/>
    <w:rsid w:val="39792764"/>
    <w:rsid w:val="397C5047"/>
    <w:rsid w:val="398D2E8F"/>
    <w:rsid w:val="39A62FD7"/>
    <w:rsid w:val="39C84AF0"/>
    <w:rsid w:val="39CD7B28"/>
    <w:rsid w:val="39D94CA6"/>
    <w:rsid w:val="39DD01D1"/>
    <w:rsid w:val="39E259DD"/>
    <w:rsid w:val="39F8091D"/>
    <w:rsid w:val="3A10628C"/>
    <w:rsid w:val="3A1A6A49"/>
    <w:rsid w:val="3A1E2BA9"/>
    <w:rsid w:val="3A290414"/>
    <w:rsid w:val="3A340727"/>
    <w:rsid w:val="3A381C68"/>
    <w:rsid w:val="3A3D3039"/>
    <w:rsid w:val="3A4B7EA1"/>
    <w:rsid w:val="3A6E0DAF"/>
    <w:rsid w:val="3A757B27"/>
    <w:rsid w:val="3A791C6D"/>
    <w:rsid w:val="3A7E204B"/>
    <w:rsid w:val="3A832AEC"/>
    <w:rsid w:val="3A9326DF"/>
    <w:rsid w:val="3A961C6A"/>
    <w:rsid w:val="3A996264"/>
    <w:rsid w:val="3A9C0F5F"/>
    <w:rsid w:val="3AB931B0"/>
    <w:rsid w:val="3ABD05C4"/>
    <w:rsid w:val="3ACE4F07"/>
    <w:rsid w:val="3B0C0D12"/>
    <w:rsid w:val="3B2515E6"/>
    <w:rsid w:val="3B255741"/>
    <w:rsid w:val="3B31449F"/>
    <w:rsid w:val="3B321724"/>
    <w:rsid w:val="3B344E0B"/>
    <w:rsid w:val="3B357480"/>
    <w:rsid w:val="3B3B638B"/>
    <w:rsid w:val="3B411272"/>
    <w:rsid w:val="3B442C49"/>
    <w:rsid w:val="3B464036"/>
    <w:rsid w:val="3B57192F"/>
    <w:rsid w:val="3B5A713D"/>
    <w:rsid w:val="3B662CF9"/>
    <w:rsid w:val="3B6C0893"/>
    <w:rsid w:val="3B912475"/>
    <w:rsid w:val="3BF03700"/>
    <w:rsid w:val="3BF231A0"/>
    <w:rsid w:val="3C113B30"/>
    <w:rsid w:val="3C1A6F98"/>
    <w:rsid w:val="3C295B16"/>
    <w:rsid w:val="3C4F4773"/>
    <w:rsid w:val="3C687850"/>
    <w:rsid w:val="3C813CFA"/>
    <w:rsid w:val="3C8C54D8"/>
    <w:rsid w:val="3CA40B5B"/>
    <w:rsid w:val="3CAF5787"/>
    <w:rsid w:val="3CB3124E"/>
    <w:rsid w:val="3CBB58F8"/>
    <w:rsid w:val="3CC82828"/>
    <w:rsid w:val="3CE82ECA"/>
    <w:rsid w:val="3CEC34A3"/>
    <w:rsid w:val="3D0D4E06"/>
    <w:rsid w:val="3D0E1C81"/>
    <w:rsid w:val="3D164509"/>
    <w:rsid w:val="3D3261BB"/>
    <w:rsid w:val="3D3B09B0"/>
    <w:rsid w:val="3D4B640E"/>
    <w:rsid w:val="3D5301E2"/>
    <w:rsid w:val="3D550EBE"/>
    <w:rsid w:val="3D673AD3"/>
    <w:rsid w:val="3D8D075B"/>
    <w:rsid w:val="3DA071B9"/>
    <w:rsid w:val="3DA6645E"/>
    <w:rsid w:val="3DB17173"/>
    <w:rsid w:val="3DC20F23"/>
    <w:rsid w:val="3DC52DE6"/>
    <w:rsid w:val="3DC92CFC"/>
    <w:rsid w:val="3DD93E25"/>
    <w:rsid w:val="3DDD1BA5"/>
    <w:rsid w:val="3DF01356"/>
    <w:rsid w:val="3DF77869"/>
    <w:rsid w:val="3DFB3D92"/>
    <w:rsid w:val="3DFC117A"/>
    <w:rsid w:val="3E250207"/>
    <w:rsid w:val="3E253AD2"/>
    <w:rsid w:val="3E5F2E22"/>
    <w:rsid w:val="3E73393A"/>
    <w:rsid w:val="3E7D34CF"/>
    <w:rsid w:val="3E9F1D3A"/>
    <w:rsid w:val="3EA5618F"/>
    <w:rsid w:val="3EB06759"/>
    <w:rsid w:val="3EB838A0"/>
    <w:rsid w:val="3ED52382"/>
    <w:rsid w:val="3ED8393F"/>
    <w:rsid w:val="3EE822F2"/>
    <w:rsid w:val="3EE86F5B"/>
    <w:rsid w:val="3F161F71"/>
    <w:rsid w:val="3F187419"/>
    <w:rsid w:val="3F7C488C"/>
    <w:rsid w:val="3FA01D53"/>
    <w:rsid w:val="3FBE5008"/>
    <w:rsid w:val="3FC65D87"/>
    <w:rsid w:val="3FE129C6"/>
    <w:rsid w:val="3FFD648A"/>
    <w:rsid w:val="3FFF0C57"/>
    <w:rsid w:val="40043306"/>
    <w:rsid w:val="40277F2A"/>
    <w:rsid w:val="402C147D"/>
    <w:rsid w:val="40435227"/>
    <w:rsid w:val="405463CF"/>
    <w:rsid w:val="405D68A6"/>
    <w:rsid w:val="40994C08"/>
    <w:rsid w:val="40B525E8"/>
    <w:rsid w:val="40CC42CD"/>
    <w:rsid w:val="40D57289"/>
    <w:rsid w:val="40EE3E16"/>
    <w:rsid w:val="4107202E"/>
    <w:rsid w:val="41193E8B"/>
    <w:rsid w:val="41323375"/>
    <w:rsid w:val="419417F3"/>
    <w:rsid w:val="41A25D3E"/>
    <w:rsid w:val="41A63DC4"/>
    <w:rsid w:val="41B330D2"/>
    <w:rsid w:val="41CB4CDB"/>
    <w:rsid w:val="422E62A5"/>
    <w:rsid w:val="42494808"/>
    <w:rsid w:val="424F60F2"/>
    <w:rsid w:val="425E2DC7"/>
    <w:rsid w:val="42656DAC"/>
    <w:rsid w:val="42672B4E"/>
    <w:rsid w:val="428C60A6"/>
    <w:rsid w:val="42BC00A1"/>
    <w:rsid w:val="42F6288C"/>
    <w:rsid w:val="430460BD"/>
    <w:rsid w:val="433320BA"/>
    <w:rsid w:val="4340494B"/>
    <w:rsid w:val="43A555A6"/>
    <w:rsid w:val="43C01835"/>
    <w:rsid w:val="43C96359"/>
    <w:rsid w:val="440C47BE"/>
    <w:rsid w:val="4433065A"/>
    <w:rsid w:val="443934B2"/>
    <w:rsid w:val="44485420"/>
    <w:rsid w:val="445119AF"/>
    <w:rsid w:val="446068A8"/>
    <w:rsid w:val="44780200"/>
    <w:rsid w:val="449A2CFC"/>
    <w:rsid w:val="449C5854"/>
    <w:rsid w:val="44AD6B0F"/>
    <w:rsid w:val="44AF5020"/>
    <w:rsid w:val="44B321C7"/>
    <w:rsid w:val="44D47618"/>
    <w:rsid w:val="44DF43F1"/>
    <w:rsid w:val="44EA06F2"/>
    <w:rsid w:val="451712A4"/>
    <w:rsid w:val="452A344B"/>
    <w:rsid w:val="452F55DF"/>
    <w:rsid w:val="453347E9"/>
    <w:rsid w:val="4545719D"/>
    <w:rsid w:val="454C4A93"/>
    <w:rsid w:val="45505B10"/>
    <w:rsid w:val="457B39F8"/>
    <w:rsid w:val="457D2ADF"/>
    <w:rsid w:val="45822A6E"/>
    <w:rsid w:val="45834BC2"/>
    <w:rsid w:val="45C85F51"/>
    <w:rsid w:val="45D02866"/>
    <w:rsid w:val="45D30ED4"/>
    <w:rsid w:val="45D65BEE"/>
    <w:rsid w:val="45E74072"/>
    <w:rsid w:val="45E8213A"/>
    <w:rsid w:val="45F50A94"/>
    <w:rsid w:val="46042E66"/>
    <w:rsid w:val="461A0B0F"/>
    <w:rsid w:val="46303A88"/>
    <w:rsid w:val="4635130B"/>
    <w:rsid w:val="46480463"/>
    <w:rsid w:val="465D66D7"/>
    <w:rsid w:val="465E41D8"/>
    <w:rsid w:val="467E39BB"/>
    <w:rsid w:val="46950369"/>
    <w:rsid w:val="469F6BE6"/>
    <w:rsid w:val="46B804C5"/>
    <w:rsid w:val="47130CD0"/>
    <w:rsid w:val="47156E5C"/>
    <w:rsid w:val="472E4972"/>
    <w:rsid w:val="47371385"/>
    <w:rsid w:val="47375F65"/>
    <w:rsid w:val="4740708B"/>
    <w:rsid w:val="474E222A"/>
    <w:rsid w:val="47586A05"/>
    <w:rsid w:val="475B2B3F"/>
    <w:rsid w:val="47B26E58"/>
    <w:rsid w:val="47BD3D3A"/>
    <w:rsid w:val="47D43419"/>
    <w:rsid w:val="47DF4ABD"/>
    <w:rsid w:val="47E466D6"/>
    <w:rsid w:val="47E92933"/>
    <w:rsid w:val="48007DC3"/>
    <w:rsid w:val="480424D9"/>
    <w:rsid w:val="48052D08"/>
    <w:rsid w:val="4814298A"/>
    <w:rsid w:val="481A7FD1"/>
    <w:rsid w:val="482557A2"/>
    <w:rsid w:val="48385595"/>
    <w:rsid w:val="483F0185"/>
    <w:rsid w:val="48401E0D"/>
    <w:rsid w:val="48496C04"/>
    <w:rsid w:val="485A1909"/>
    <w:rsid w:val="486C3CF7"/>
    <w:rsid w:val="48731DBA"/>
    <w:rsid w:val="487C5803"/>
    <w:rsid w:val="4885036D"/>
    <w:rsid w:val="4890155F"/>
    <w:rsid w:val="489108BA"/>
    <w:rsid w:val="489E0779"/>
    <w:rsid w:val="48A957D4"/>
    <w:rsid w:val="48AC5DD4"/>
    <w:rsid w:val="48BD5941"/>
    <w:rsid w:val="48BF2D31"/>
    <w:rsid w:val="48BF3E54"/>
    <w:rsid w:val="48CF2975"/>
    <w:rsid w:val="49074789"/>
    <w:rsid w:val="490876CA"/>
    <w:rsid w:val="49105043"/>
    <w:rsid w:val="49116382"/>
    <w:rsid w:val="49622993"/>
    <w:rsid w:val="496B2EB9"/>
    <w:rsid w:val="49891F0F"/>
    <w:rsid w:val="49A66D32"/>
    <w:rsid w:val="49BC7650"/>
    <w:rsid w:val="49BF78FA"/>
    <w:rsid w:val="49C8668D"/>
    <w:rsid w:val="49D5253A"/>
    <w:rsid w:val="49EA3569"/>
    <w:rsid w:val="49F1473B"/>
    <w:rsid w:val="4A1D0682"/>
    <w:rsid w:val="4A225317"/>
    <w:rsid w:val="4A26027D"/>
    <w:rsid w:val="4A2B7CF7"/>
    <w:rsid w:val="4A427FEA"/>
    <w:rsid w:val="4A546B10"/>
    <w:rsid w:val="4A590F64"/>
    <w:rsid w:val="4A7B5E08"/>
    <w:rsid w:val="4A82037A"/>
    <w:rsid w:val="4A8204BA"/>
    <w:rsid w:val="4A855875"/>
    <w:rsid w:val="4A924C57"/>
    <w:rsid w:val="4A9F4FAB"/>
    <w:rsid w:val="4AB626B9"/>
    <w:rsid w:val="4AD04B21"/>
    <w:rsid w:val="4AD05128"/>
    <w:rsid w:val="4AE747C1"/>
    <w:rsid w:val="4AFA0EEE"/>
    <w:rsid w:val="4B09298A"/>
    <w:rsid w:val="4B1265D6"/>
    <w:rsid w:val="4B1762EE"/>
    <w:rsid w:val="4B1E7ED1"/>
    <w:rsid w:val="4B34570C"/>
    <w:rsid w:val="4B353824"/>
    <w:rsid w:val="4B396DE3"/>
    <w:rsid w:val="4B4F52F1"/>
    <w:rsid w:val="4B5C51AF"/>
    <w:rsid w:val="4B6010EB"/>
    <w:rsid w:val="4B7144A6"/>
    <w:rsid w:val="4B814374"/>
    <w:rsid w:val="4B816555"/>
    <w:rsid w:val="4B9C2D28"/>
    <w:rsid w:val="4BAA75A1"/>
    <w:rsid w:val="4BB45F7F"/>
    <w:rsid w:val="4BBB7BF3"/>
    <w:rsid w:val="4BFD62D0"/>
    <w:rsid w:val="4C0655D2"/>
    <w:rsid w:val="4C0E16C7"/>
    <w:rsid w:val="4C200854"/>
    <w:rsid w:val="4C237A7B"/>
    <w:rsid w:val="4C2F7C50"/>
    <w:rsid w:val="4C327CBE"/>
    <w:rsid w:val="4C4B1B83"/>
    <w:rsid w:val="4C707486"/>
    <w:rsid w:val="4C7F6007"/>
    <w:rsid w:val="4C84673A"/>
    <w:rsid w:val="4C8B4BE4"/>
    <w:rsid w:val="4C9E5354"/>
    <w:rsid w:val="4CA50529"/>
    <w:rsid w:val="4CA82A50"/>
    <w:rsid w:val="4CB605B9"/>
    <w:rsid w:val="4D0619EF"/>
    <w:rsid w:val="4D244978"/>
    <w:rsid w:val="4D266D72"/>
    <w:rsid w:val="4D2C0721"/>
    <w:rsid w:val="4D391B1A"/>
    <w:rsid w:val="4D3B1337"/>
    <w:rsid w:val="4D493115"/>
    <w:rsid w:val="4D507BC4"/>
    <w:rsid w:val="4D6D4D75"/>
    <w:rsid w:val="4D705508"/>
    <w:rsid w:val="4D72451A"/>
    <w:rsid w:val="4D900618"/>
    <w:rsid w:val="4E1D6DED"/>
    <w:rsid w:val="4E1E1A15"/>
    <w:rsid w:val="4E2D6694"/>
    <w:rsid w:val="4E3F6E38"/>
    <w:rsid w:val="4E466164"/>
    <w:rsid w:val="4E4961F8"/>
    <w:rsid w:val="4E514432"/>
    <w:rsid w:val="4E574EA2"/>
    <w:rsid w:val="4E586C4F"/>
    <w:rsid w:val="4E5C73EE"/>
    <w:rsid w:val="4E606D65"/>
    <w:rsid w:val="4E663A9E"/>
    <w:rsid w:val="4E957CE9"/>
    <w:rsid w:val="4EA57CFD"/>
    <w:rsid w:val="4EA57FAE"/>
    <w:rsid w:val="4EAF657B"/>
    <w:rsid w:val="4EBB3F9B"/>
    <w:rsid w:val="4ED07E0E"/>
    <w:rsid w:val="4ED27537"/>
    <w:rsid w:val="4ED4164F"/>
    <w:rsid w:val="4ED80FF1"/>
    <w:rsid w:val="4EDA3ACA"/>
    <w:rsid w:val="4EE342E0"/>
    <w:rsid w:val="4EEA7149"/>
    <w:rsid w:val="4EF92D17"/>
    <w:rsid w:val="4EFC4B6A"/>
    <w:rsid w:val="4F167ACB"/>
    <w:rsid w:val="4F3442A8"/>
    <w:rsid w:val="4F3F4FD4"/>
    <w:rsid w:val="4F402213"/>
    <w:rsid w:val="4F59377C"/>
    <w:rsid w:val="4F5C37B5"/>
    <w:rsid w:val="4F6166BE"/>
    <w:rsid w:val="4F854199"/>
    <w:rsid w:val="4F8B7E11"/>
    <w:rsid w:val="4F8C5937"/>
    <w:rsid w:val="4F9F26EB"/>
    <w:rsid w:val="4FB90E1A"/>
    <w:rsid w:val="4FCA27EE"/>
    <w:rsid w:val="4FCC0475"/>
    <w:rsid w:val="4FD642EE"/>
    <w:rsid w:val="4FDA44B4"/>
    <w:rsid w:val="4FDB4CB5"/>
    <w:rsid w:val="4FF87B8B"/>
    <w:rsid w:val="502648F1"/>
    <w:rsid w:val="506F1CF8"/>
    <w:rsid w:val="50A30E0F"/>
    <w:rsid w:val="50C3263F"/>
    <w:rsid w:val="50C95974"/>
    <w:rsid w:val="50D7190B"/>
    <w:rsid w:val="5104605B"/>
    <w:rsid w:val="51393473"/>
    <w:rsid w:val="51393E10"/>
    <w:rsid w:val="513E087B"/>
    <w:rsid w:val="5149465D"/>
    <w:rsid w:val="514A51EA"/>
    <w:rsid w:val="514D583C"/>
    <w:rsid w:val="514E2E5A"/>
    <w:rsid w:val="51560AFA"/>
    <w:rsid w:val="51577749"/>
    <w:rsid w:val="51577BAC"/>
    <w:rsid w:val="51670209"/>
    <w:rsid w:val="517145D6"/>
    <w:rsid w:val="51747CF9"/>
    <w:rsid w:val="51772AEC"/>
    <w:rsid w:val="518564BC"/>
    <w:rsid w:val="519213F4"/>
    <w:rsid w:val="51924BAF"/>
    <w:rsid w:val="51AB0749"/>
    <w:rsid w:val="51E83B53"/>
    <w:rsid w:val="51E8501C"/>
    <w:rsid w:val="52056A18"/>
    <w:rsid w:val="52077575"/>
    <w:rsid w:val="52234963"/>
    <w:rsid w:val="52261086"/>
    <w:rsid w:val="522C16A2"/>
    <w:rsid w:val="5230738F"/>
    <w:rsid w:val="52584FC1"/>
    <w:rsid w:val="526345BA"/>
    <w:rsid w:val="52655D3E"/>
    <w:rsid w:val="52677995"/>
    <w:rsid w:val="526D60E5"/>
    <w:rsid w:val="527D4885"/>
    <w:rsid w:val="52A062A2"/>
    <w:rsid w:val="52A31916"/>
    <w:rsid w:val="52A84476"/>
    <w:rsid w:val="52A93AA8"/>
    <w:rsid w:val="52AD5E4D"/>
    <w:rsid w:val="52BE6C3A"/>
    <w:rsid w:val="52E66097"/>
    <w:rsid w:val="52E94915"/>
    <w:rsid w:val="52EB605E"/>
    <w:rsid w:val="52ED478E"/>
    <w:rsid w:val="530A7B81"/>
    <w:rsid w:val="530D6815"/>
    <w:rsid w:val="531600DA"/>
    <w:rsid w:val="53161D82"/>
    <w:rsid w:val="531A1A37"/>
    <w:rsid w:val="53201799"/>
    <w:rsid w:val="5323696E"/>
    <w:rsid w:val="53287BC3"/>
    <w:rsid w:val="533F1BE9"/>
    <w:rsid w:val="53401572"/>
    <w:rsid w:val="53491EF3"/>
    <w:rsid w:val="53512480"/>
    <w:rsid w:val="53604842"/>
    <w:rsid w:val="53611BFC"/>
    <w:rsid w:val="536B49C4"/>
    <w:rsid w:val="537511C0"/>
    <w:rsid w:val="53865F36"/>
    <w:rsid w:val="53936CB5"/>
    <w:rsid w:val="53AA1762"/>
    <w:rsid w:val="53BC27EE"/>
    <w:rsid w:val="53E52588"/>
    <w:rsid w:val="53E75512"/>
    <w:rsid w:val="53F51BFA"/>
    <w:rsid w:val="54182725"/>
    <w:rsid w:val="54633778"/>
    <w:rsid w:val="547277F2"/>
    <w:rsid w:val="547F414C"/>
    <w:rsid w:val="54866DF9"/>
    <w:rsid w:val="548B283B"/>
    <w:rsid w:val="548D689B"/>
    <w:rsid w:val="54911CEA"/>
    <w:rsid w:val="54B200F3"/>
    <w:rsid w:val="54CF3B12"/>
    <w:rsid w:val="54DE6C35"/>
    <w:rsid w:val="54EE034D"/>
    <w:rsid w:val="54FE1455"/>
    <w:rsid w:val="551C6EAC"/>
    <w:rsid w:val="55304D8A"/>
    <w:rsid w:val="55467886"/>
    <w:rsid w:val="55501D32"/>
    <w:rsid w:val="55735D4F"/>
    <w:rsid w:val="55781226"/>
    <w:rsid w:val="557B64C8"/>
    <w:rsid w:val="55B115D3"/>
    <w:rsid w:val="55C0251B"/>
    <w:rsid w:val="55DA1A70"/>
    <w:rsid w:val="55E156A9"/>
    <w:rsid w:val="55F175C2"/>
    <w:rsid w:val="56082D21"/>
    <w:rsid w:val="56660D98"/>
    <w:rsid w:val="566E303C"/>
    <w:rsid w:val="567603BC"/>
    <w:rsid w:val="56786F0B"/>
    <w:rsid w:val="56801A56"/>
    <w:rsid w:val="56A061FB"/>
    <w:rsid w:val="56A445E8"/>
    <w:rsid w:val="56DE092B"/>
    <w:rsid w:val="56EB5639"/>
    <w:rsid w:val="56F01574"/>
    <w:rsid w:val="5703171F"/>
    <w:rsid w:val="5713286A"/>
    <w:rsid w:val="57163AE0"/>
    <w:rsid w:val="57185986"/>
    <w:rsid w:val="573168A8"/>
    <w:rsid w:val="57356B86"/>
    <w:rsid w:val="57366CF6"/>
    <w:rsid w:val="574C6509"/>
    <w:rsid w:val="575E6D23"/>
    <w:rsid w:val="575F6A6D"/>
    <w:rsid w:val="57782D47"/>
    <w:rsid w:val="578622FF"/>
    <w:rsid w:val="579148A1"/>
    <w:rsid w:val="579A0718"/>
    <w:rsid w:val="579B07CF"/>
    <w:rsid w:val="57AC0A31"/>
    <w:rsid w:val="57EC69D6"/>
    <w:rsid w:val="57FD11E3"/>
    <w:rsid w:val="58052553"/>
    <w:rsid w:val="581644ED"/>
    <w:rsid w:val="581C288C"/>
    <w:rsid w:val="581F1E92"/>
    <w:rsid w:val="58591EE4"/>
    <w:rsid w:val="585C6FB3"/>
    <w:rsid w:val="586A462B"/>
    <w:rsid w:val="58704048"/>
    <w:rsid w:val="58726242"/>
    <w:rsid w:val="58957B25"/>
    <w:rsid w:val="58B55EFF"/>
    <w:rsid w:val="58C778CD"/>
    <w:rsid w:val="58D243BA"/>
    <w:rsid w:val="58E30426"/>
    <w:rsid w:val="58F73106"/>
    <w:rsid w:val="591042C3"/>
    <w:rsid w:val="591075D9"/>
    <w:rsid w:val="59350374"/>
    <w:rsid w:val="59470035"/>
    <w:rsid w:val="59690565"/>
    <w:rsid w:val="59802318"/>
    <w:rsid w:val="598D732B"/>
    <w:rsid w:val="59C8359B"/>
    <w:rsid w:val="59F36CFF"/>
    <w:rsid w:val="5A0C6530"/>
    <w:rsid w:val="5A19590B"/>
    <w:rsid w:val="5A254F0A"/>
    <w:rsid w:val="5A3E7EA1"/>
    <w:rsid w:val="5A590E22"/>
    <w:rsid w:val="5A5A02CD"/>
    <w:rsid w:val="5A6649A7"/>
    <w:rsid w:val="5A8151DE"/>
    <w:rsid w:val="5A84404F"/>
    <w:rsid w:val="5A9C6ECE"/>
    <w:rsid w:val="5AB211FD"/>
    <w:rsid w:val="5AB95B19"/>
    <w:rsid w:val="5AD4787A"/>
    <w:rsid w:val="5ADD035C"/>
    <w:rsid w:val="5B0A7098"/>
    <w:rsid w:val="5B22679E"/>
    <w:rsid w:val="5B447C9C"/>
    <w:rsid w:val="5B464CD3"/>
    <w:rsid w:val="5B563609"/>
    <w:rsid w:val="5B67132A"/>
    <w:rsid w:val="5B781FC4"/>
    <w:rsid w:val="5B7C5455"/>
    <w:rsid w:val="5B7F38DD"/>
    <w:rsid w:val="5B846582"/>
    <w:rsid w:val="5B890AA7"/>
    <w:rsid w:val="5B8D0A77"/>
    <w:rsid w:val="5B9602A5"/>
    <w:rsid w:val="5BBB79AE"/>
    <w:rsid w:val="5BBE4D92"/>
    <w:rsid w:val="5BE30A27"/>
    <w:rsid w:val="5BF71C20"/>
    <w:rsid w:val="5C103452"/>
    <w:rsid w:val="5C193314"/>
    <w:rsid w:val="5C19473B"/>
    <w:rsid w:val="5C481E4C"/>
    <w:rsid w:val="5C6B765C"/>
    <w:rsid w:val="5C7868AD"/>
    <w:rsid w:val="5C895323"/>
    <w:rsid w:val="5C9A31C0"/>
    <w:rsid w:val="5CA6628A"/>
    <w:rsid w:val="5CB4118D"/>
    <w:rsid w:val="5CC1509B"/>
    <w:rsid w:val="5CF05055"/>
    <w:rsid w:val="5CF27D90"/>
    <w:rsid w:val="5D072AA1"/>
    <w:rsid w:val="5D08285C"/>
    <w:rsid w:val="5D221689"/>
    <w:rsid w:val="5D2A7051"/>
    <w:rsid w:val="5D2E002E"/>
    <w:rsid w:val="5D36387C"/>
    <w:rsid w:val="5D3951D9"/>
    <w:rsid w:val="5D606D75"/>
    <w:rsid w:val="5D7772E5"/>
    <w:rsid w:val="5DA2346C"/>
    <w:rsid w:val="5DBF4C8D"/>
    <w:rsid w:val="5DCE62FE"/>
    <w:rsid w:val="5DD706C5"/>
    <w:rsid w:val="5DF12DCE"/>
    <w:rsid w:val="5E196C01"/>
    <w:rsid w:val="5E1B5CF5"/>
    <w:rsid w:val="5E3220DB"/>
    <w:rsid w:val="5E405F69"/>
    <w:rsid w:val="5E452645"/>
    <w:rsid w:val="5E563CE0"/>
    <w:rsid w:val="5E5F6B31"/>
    <w:rsid w:val="5E653ED5"/>
    <w:rsid w:val="5E7E6A00"/>
    <w:rsid w:val="5E9D669B"/>
    <w:rsid w:val="5EAB62C5"/>
    <w:rsid w:val="5EBB7FE7"/>
    <w:rsid w:val="5EDB1920"/>
    <w:rsid w:val="5EDE53D4"/>
    <w:rsid w:val="5EFA1771"/>
    <w:rsid w:val="5F3039DF"/>
    <w:rsid w:val="5F3E1C3D"/>
    <w:rsid w:val="5F514B4B"/>
    <w:rsid w:val="5F514EB5"/>
    <w:rsid w:val="5F5875E4"/>
    <w:rsid w:val="5F8301A1"/>
    <w:rsid w:val="5F845C7D"/>
    <w:rsid w:val="5F86616B"/>
    <w:rsid w:val="5F884FC8"/>
    <w:rsid w:val="5F893C41"/>
    <w:rsid w:val="5F98234C"/>
    <w:rsid w:val="5F9F784D"/>
    <w:rsid w:val="5FA26111"/>
    <w:rsid w:val="5FA62D0D"/>
    <w:rsid w:val="5FCA76CB"/>
    <w:rsid w:val="5FDB6E58"/>
    <w:rsid w:val="60010EA4"/>
    <w:rsid w:val="602045A6"/>
    <w:rsid w:val="6024439E"/>
    <w:rsid w:val="60542585"/>
    <w:rsid w:val="60675D31"/>
    <w:rsid w:val="6069670F"/>
    <w:rsid w:val="60765F74"/>
    <w:rsid w:val="609318BF"/>
    <w:rsid w:val="60B66ADC"/>
    <w:rsid w:val="60DE583A"/>
    <w:rsid w:val="60F3298F"/>
    <w:rsid w:val="610707AD"/>
    <w:rsid w:val="61187DEF"/>
    <w:rsid w:val="611B30E3"/>
    <w:rsid w:val="61242E9C"/>
    <w:rsid w:val="612A36A2"/>
    <w:rsid w:val="613604BB"/>
    <w:rsid w:val="613A0A13"/>
    <w:rsid w:val="61411F4F"/>
    <w:rsid w:val="61455B35"/>
    <w:rsid w:val="615174EC"/>
    <w:rsid w:val="61647DE5"/>
    <w:rsid w:val="6166080C"/>
    <w:rsid w:val="619C5098"/>
    <w:rsid w:val="61A451B1"/>
    <w:rsid w:val="61B41449"/>
    <w:rsid w:val="61C2017B"/>
    <w:rsid w:val="61ED257D"/>
    <w:rsid w:val="62057C97"/>
    <w:rsid w:val="620C07C2"/>
    <w:rsid w:val="62143705"/>
    <w:rsid w:val="621B1245"/>
    <w:rsid w:val="623968A2"/>
    <w:rsid w:val="62763D9F"/>
    <w:rsid w:val="62880BC7"/>
    <w:rsid w:val="62A31505"/>
    <w:rsid w:val="62C07E56"/>
    <w:rsid w:val="62C4487D"/>
    <w:rsid w:val="62D41677"/>
    <w:rsid w:val="63160575"/>
    <w:rsid w:val="63453CB5"/>
    <w:rsid w:val="63552B0F"/>
    <w:rsid w:val="63641499"/>
    <w:rsid w:val="63661FD5"/>
    <w:rsid w:val="638729FE"/>
    <w:rsid w:val="639B14F1"/>
    <w:rsid w:val="63AF74DC"/>
    <w:rsid w:val="63B90C94"/>
    <w:rsid w:val="63C84E50"/>
    <w:rsid w:val="63CF353A"/>
    <w:rsid w:val="63FB273C"/>
    <w:rsid w:val="6406141F"/>
    <w:rsid w:val="64216A5F"/>
    <w:rsid w:val="64281106"/>
    <w:rsid w:val="64282BFD"/>
    <w:rsid w:val="643059C7"/>
    <w:rsid w:val="64506E11"/>
    <w:rsid w:val="646A7408"/>
    <w:rsid w:val="646E63E3"/>
    <w:rsid w:val="647D3394"/>
    <w:rsid w:val="64813A11"/>
    <w:rsid w:val="648C161E"/>
    <w:rsid w:val="648E33CB"/>
    <w:rsid w:val="649578B0"/>
    <w:rsid w:val="64997931"/>
    <w:rsid w:val="64BA2889"/>
    <w:rsid w:val="64C161E0"/>
    <w:rsid w:val="651B4748"/>
    <w:rsid w:val="65552600"/>
    <w:rsid w:val="655D3098"/>
    <w:rsid w:val="6570095F"/>
    <w:rsid w:val="657B69CF"/>
    <w:rsid w:val="657F7D05"/>
    <w:rsid w:val="65AA76B9"/>
    <w:rsid w:val="65BA6D04"/>
    <w:rsid w:val="65D204D4"/>
    <w:rsid w:val="65D53D3B"/>
    <w:rsid w:val="65F87B53"/>
    <w:rsid w:val="660D6691"/>
    <w:rsid w:val="66154481"/>
    <w:rsid w:val="661E407A"/>
    <w:rsid w:val="663873EF"/>
    <w:rsid w:val="665101C8"/>
    <w:rsid w:val="66974267"/>
    <w:rsid w:val="66996A5F"/>
    <w:rsid w:val="66C5307E"/>
    <w:rsid w:val="66E71BC1"/>
    <w:rsid w:val="66FC0333"/>
    <w:rsid w:val="67056085"/>
    <w:rsid w:val="67170052"/>
    <w:rsid w:val="67423E43"/>
    <w:rsid w:val="67437E0B"/>
    <w:rsid w:val="67581923"/>
    <w:rsid w:val="677D333A"/>
    <w:rsid w:val="677E0B32"/>
    <w:rsid w:val="67966F51"/>
    <w:rsid w:val="67B334D1"/>
    <w:rsid w:val="67BF25ED"/>
    <w:rsid w:val="67EB768C"/>
    <w:rsid w:val="68277F0B"/>
    <w:rsid w:val="6829266D"/>
    <w:rsid w:val="68382A5C"/>
    <w:rsid w:val="684B6C29"/>
    <w:rsid w:val="684E0D7A"/>
    <w:rsid w:val="688275DC"/>
    <w:rsid w:val="68963EC7"/>
    <w:rsid w:val="68B03FED"/>
    <w:rsid w:val="68C360B3"/>
    <w:rsid w:val="68C57CDC"/>
    <w:rsid w:val="68CB72CF"/>
    <w:rsid w:val="69014081"/>
    <w:rsid w:val="690A2086"/>
    <w:rsid w:val="69101DFB"/>
    <w:rsid w:val="6938451F"/>
    <w:rsid w:val="69436F4B"/>
    <w:rsid w:val="69471B45"/>
    <w:rsid w:val="69623539"/>
    <w:rsid w:val="697F247E"/>
    <w:rsid w:val="698D45BD"/>
    <w:rsid w:val="698D7802"/>
    <w:rsid w:val="699676B0"/>
    <w:rsid w:val="69A419DE"/>
    <w:rsid w:val="69B41592"/>
    <w:rsid w:val="69D32702"/>
    <w:rsid w:val="69E044FE"/>
    <w:rsid w:val="69F14ECA"/>
    <w:rsid w:val="69F37D1F"/>
    <w:rsid w:val="6A031D5A"/>
    <w:rsid w:val="6A155AD2"/>
    <w:rsid w:val="6A1B1D70"/>
    <w:rsid w:val="6A294057"/>
    <w:rsid w:val="6A2C59B2"/>
    <w:rsid w:val="6A337815"/>
    <w:rsid w:val="6A650C8C"/>
    <w:rsid w:val="6A8402D5"/>
    <w:rsid w:val="6A8B08C6"/>
    <w:rsid w:val="6A9C6050"/>
    <w:rsid w:val="6A9F75CB"/>
    <w:rsid w:val="6AAF52C3"/>
    <w:rsid w:val="6AD644E8"/>
    <w:rsid w:val="6AF87CC4"/>
    <w:rsid w:val="6B0B6BDB"/>
    <w:rsid w:val="6B104E3D"/>
    <w:rsid w:val="6B1A1C24"/>
    <w:rsid w:val="6B585A3E"/>
    <w:rsid w:val="6B644641"/>
    <w:rsid w:val="6B656B5C"/>
    <w:rsid w:val="6B7D12D5"/>
    <w:rsid w:val="6B872F53"/>
    <w:rsid w:val="6B8C74E0"/>
    <w:rsid w:val="6BA0362E"/>
    <w:rsid w:val="6BA041E4"/>
    <w:rsid w:val="6BA51312"/>
    <w:rsid w:val="6BBB1886"/>
    <w:rsid w:val="6BBE06F1"/>
    <w:rsid w:val="6BD40E82"/>
    <w:rsid w:val="6BE26625"/>
    <w:rsid w:val="6BE97F42"/>
    <w:rsid w:val="6BF15B18"/>
    <w:rsid w:val="6BF9053F"/>
    <w:rsid w:val="6BFA2EED"/>
    <w:rsid w:val="6C1B5ACF"/>
    <w:rsid w:val="6C277B67"/>
    <w:rsid w:val="6C2B1551"/>
    <w:rsid w:val="6C397373"/>
    <w:rsid w:val="6C5555D7"/>
    <w:rsid w:val="6C5D163B"/>
    <w:rsid w:val="6C8979FE"/>
    <w:rsid w:val="6CA4199A"/>
    <w:rsid w:val="6CBC59AE"/>
    <w:rsid w:val="6CC87955"/>
    <w:rsid w:val="6CCF39CD"/>
    <w:rsid w:val="6D040C67"/>
    <w:rsid w:val="6D045878"/>
    <w:rsid w:val="6D0C2BFA"/>
    <w:rsid w:val="6D0F2855"/>
    <w:rsid w:val="6D1F1741"/>
    <w:rsid w:val="6D3F2759"/>
    <w:rsid w:val="6D4840B7"/>
    <w:rsid w:val="6D5A4A54"/>
    <w:rsid w:val="6D5C587A"/>
    <w:rsid w:val="6D61655A"/>
    <w:rsid w:val="6D6C3BAF"/>
    <w:rsid w:val="6D713F27"/>
    <w:rsid w:val="6D820D5F"/>
    <w:rsid w:val="6DA00AD4"/>
    <w:rsid w:val="6DCA6E9F"/>
    <w:rsid w:val="6DCC0E5D"/>
    <w:rsid w:val="6DD749CA"/>
    <w:rsid w:val="6DDB1B0C"/>
    <w:rsid w:val="6DF75606"/>
    <w:rsid w:val="6E00489B"/>
    <w:rsid w:val="6E0519B1"/>
    <w:rsid w:val="6E19329F"/>
    <w:rsid w:val="6E985226"/>
    <w:rsid w:val="6E9F55D2"/>
    <w:rsid w:val="6EBB5BE5"/>
    <w:rsid w:val="6EC019A1"/>
    <w:rsid w:val="6EE266D7"/>
    <w:rsid w:val="6F153FE6"/>
    <w:rsid w:val="6F24076C"/>
    <w:rsid w:val="6F33770C"/>
    <w:rsid w:val="6F354EA7"/>
    <w:rsid w:val="6F3E0D14"/>
    <w:rsid w:val="6F6B4B89"/>
    <w:rsid w:val="6F737D46"/>
    <w:rsid w:val="6F9B77A5"/>
    <w:rsid w:val="6F9F1C91"/>
    <w:rsid w:val="6FA04DBB"/>
    <w:rsid w:val="6FA15920"/>
    <w:rsid w:val="6FA20AF4"/>
    <w:rsid w:val="6FA5762F"/>
    <w:rsid w:val="6FD3691A"/>
    <w:rsid w:val="6FDB40FB"/>
    <w:rsid w:val="6FE95CC5"/>
    <w:rsid w:val="6FF61083"/>
    <w:rsid w:val="70110301"/>
    <w:rsid w:val="70304B14"/>
    <w:rsid w:val="703A4B77"/>
    <w:rsid w:val="70773116"/>
    <w:rsid w:val="709343FD"/>
    <w:rsid w:val="7097094A"/>
    <w:rsid w:val="70B47CC5"/>
    <w:rsid w:val="70B9705F"/>
    <w:rsid w:val="70BE5E08"/>
    <w:rsid w:val="70D202E8"/>
    <w:rsid w:val="70D864B3"/>
    <w:rsid w:val="70EA39B1"/>
    <w:rsid w:val="70EB6BF0"/>
    <w:rsid w:val="70F04E54"/>
    <w:rsid w:val="70FE794A"/>
    <w:rsid w:val="71090CC4"/>
    <w:rsid w:val="7114517F"/>
    <w:rsid w:val="711E0C91"/>
    <w:rsid w:val="712E2DAE"/>
    <w:rsid w:val="714C3AC3"/>
    <w:rsid w:val="715865F7"/>
    <w:rsid w:val="717A4588"/>
    <w:rsid w:val="71CB1E97"/>
    <w:rsid w:val="71CF584A"/>
    <w:rsid w:val="71F76BAC"/>
    <w:rsid w:val="720979F9"/>
    <w:rsid w:val="720E0B2A"/>
    <w:rsid w:val="72194414"/>
    <w:rsid w:val="721E7841"/>
    <w:rsid w:val="72255A4C"/>
    <w:rsid w:val="723802B6"/>
    <w:rsid w:val="724D3EFF"/>
    <w:rsid w:val="72560679"/>
    <w:rsid w:val="726C126D"/>
    <w:rsid w:val="728D3603"/>
    <w:rsid w:val="7299504E"/>
    <w:rsid w:val="729D55E2"/>
    <w:rsid w:val="72A4438F"/>
    <w:rsid w:val="72C80D0D"/>
    <w:rsid w:val="72DB679A"/>
    <w:rsid w:val="72EB5381"/>
    <w:rsid w:val="72EB5465"/>
    <w:rsid w:val="72F85AD1"/>
    <w:rsid w:val="72FB5798"/>
    <w:rsid w:val="730078B9"/>
    <w:rsid w:val="730635F6"/>
    <w:rsid w:val="73113E08"/>
    <w:rsid w:val="73181FEB"/>
    <w:rsid w:val="732339DC"/>
    <w:rsid w:val="73405BCC"/>
    <w:rsid w:val="734C008A"/>
    <w:rsid w:val="73520FF0"/>
    <w:rsid w:val="735623C8"/>
    <w:rsid w:val="736A426E"/>
    <w:rsid w:val="736B5B2B"/>
    <w:rsid w:val="736C5B7F"/>
    <w:rsid w:val="73785E7B"/>
    <w:rsid w:val="739B710A"/>
    <w:rsid w:val="73A95B81"/>
    <w:rsid w:val="73D11FB7"/>
    <w:rsid w:val="73F34874"/>
    <w:rsid w:val="73F923A1"/>
    <w:rsid w:val="73FE0540"/>
    <w:rsid w:val="74272825"/>
    <w:rsid w:val="7437107B"/>
    <w:rsid w:val="744E128A"/>
    <w:rsid w:val="74684FAB"/>
    <w:rsid w:val="747B4061"/>
    <w:rsid w:val="748F3506"/>
    <w:rsid w:val="74BD4E22"/>
    <w:rsid w:val="74BF6315"/>
    <w:rsid w:val="74C935C6"/>
    <w:rsid w:val="74F01324"/>
    <w:rsid w:val="750F21D9"/>
    <w:rsid w:val="751723AF"/>
    <w:rsid w:val="751B0B4C"/>
    <w:rsid w:val="75223FE0"/>
    <w:rsid w:val="753164B5"/>
    <w:rsid w:val="755B2876"/>
    <w:rsid w:val="756265A3"/>
    <w:rsid w:val="75655515"/>
    <w:rsid w:val="757D3FCF"/>
    <w:rsid w:val="759233F8"/>
    <w:rsid w:val="759D13B8"/>
    <w:rsid w:val="75D201BD"/>
    <w:rsid w:val="75E85477"/>
    <w:rsid w:val="75FA6B8F"/>
    <w:rsid w:val="76036BA5"/>
    <w:rsid w:val="76171CE3"/>
    <w:rsid w:val="762257D5"/>
    <w:rsid w:val="762A3627"/>
    <w:rsid w:val="762E1BEA"/>
    <w:rsid w:val="76412025"/>
    <w:rsid w:val="76445FFB"/>
    <w:rsid w:val="764D3566"/>
    <w:rsid w:val="766C7C2A"/>
    <w:rsid w:val="76A16876"/>
    <w:rsid w:val="76A5715B"/>
    <w:rsid w:val="76F52514"/>
    <w:rsid w:val="7726029C"/>
    <w:rsid w:val="773C68E2"/>
    <w:rsid w:val="77431DB1"/>
    <w:rsid w:val="775D1FA0"/>
    <w:rsid w:val="779124B3"/>
    <w:rsid w:val="77977B56"/>
    <w:rsid w:val="77A05C70"/>
    <w:rsid w:val="77A075C4"/>
    <w:rsid w:val="77AC7FB1"/>
    <w:rsid w:val="77BD627A"/>
    <w:rsid w:val="77BD640B"/>
    <w:rsid w:val="77BF4E32"/>
    <w:rsid w:val="77BF6A4A"/>
    <w:rsid w:val="77CB26BF"/>
    <w:rsid w:val="77D25EB0"/>
    <w:rsid w:val="78061897"/>
    <w:rsid w:val="780A3445"/>
    <w:rsid w:val="78183C24"/>
    <w:rsid w:val="782F73CD"/>
    <w:rsid w:val="786D78C0"/>
    <w:rsid w:val="7871727F"/>
    <w:rsid w:val="787B3057"/>
    <w:rsid w:val="788A2768"/>
    <w:rsid w:val="78A665B2"/>
    <w:rsid w:val="78AD64E8"/>
    <w:rsid w:val="78B85DE9"/>
    <w:rsid w:val="78BB6062"/>
    <w:rsid w:val="78D549C9"/>
    <w:rsid w:val="78DB6432"/>
    <w:rsid w:val="78DE7DA1"/>
    <w:rsid w:val="78E114A4"/>
    <w:rsid w:val="78E8698D"/>
    <w:rsid w:val="79023B9D"/>
    <w:rsid w:val="791F1E15"/>
    <w:rsid w:val="792206FC"/>
    <w:rsid w:val="794F5C75"/>
    <w:rsid w:val="79624ACB"/>
    <w:rsid w:val="798559ED"/>
    <w:rsid w:val="79972219"/>
    <w:rsid w:val="79B53B59"/>
    <w:rsid w:val="79B67FED"/>
    <w:rsid w:val="79C25500"/>
    <w:rsid w:val="79D80D2B"/>
    <w:rsid w:val="79F57198"/>
    <w:rsid w:val="79FB5D8B"/>
    <w:rsid w:val="7A2D13C6"/>
    <w:rsid w:val="7A3727C0"/>
    <w:rsid w:val="7A380E66"/>
    <w:rsid w:val="7A3D27F8"/>
    <w:rsid w:val="7A4200A1"/>
    <w:rsid w:val="7A4474CA"/>
    <w:rsid w:val="7A5754E9"/>
    <w:rsid w:val="7A5774AF"/>
    <w:rsid w:val="7A5B13A5"/>
    <w:rsid w:val="7A6445E3"/>
    <w:rsid w:val="7A6852DA"/>
    <w:rsid w:val="7A8C15E7"/>
    <w:rsid w:val="7A995020"/>
    <w:rsid w:val="7AA35764"/>
    <w:rsid w:val="7ACD0A2E"/>
    <w:rsid w:val="7ADC2288"/>
    <w:rsid w:val="7AE42387"/>
    <w:rsid w:val="7AFE7D21"/>
    <w:rsid w:val="7B165BB8"/>
    <w:rsid w:val="7B174682"/>
    <w:rsid w:val="7B220D7A"/>
    <w:rsid w:val="7B3030F8"/>
    <w:rsid w:val="7B424590"/>
    <w:rsid w:val="7B4F6582"/>
    <w:rsid w:val="7B8437E3"/>
    <w:rsid w:val="7B8B264C"/>
    <w:rsid w:val="7BAE7923"/>
    <w:rsid w:val="7BB12733"/>
    <w:rsid w:val="7BC70E31"/>
    <w:rsid w:val="7BDB375B"/>
    <w:rsid w:val="7BED4A35"/>
    <w:rsid w:val="7BFD4EA9"/>
    <w:rsid w:val="7C0D1926"/>
    <w:rsid w:val="7C12271A"/>
    <w:rsid w:val="7C285099"/>
    <w:rsid w:val="7C474728"/>
    <w:rsid w:val="7C4D711C"/>
    <w:rsid w:val="7C520485"/>
    <w:rsid w:val="7C555E66"/>
    <w:rsid w:val="7C5E3F5A"/>
    <w:rsid w:val="7C6D65C8"/>
    <w:rsid w:val="7C754515"/>
    <w:rsid w:val="7C9E149A"/>
    <w:rsid w:val="7CC17F94"/>
    <w:rsid w:val="7CC868A3"/>
    <w:rsid w:val="7CDF018A"/>
    <w:rsid w:val="7CDF7EA6"/>
    <w:rsid w:val="7CE729E7"/>
    <w:rsid w:val="7CFB1883"/>
    <w:rsid w:val="7CFB7AD5"/>
    <w:rsid w:val="7D0A3BA3"/>
    <w:rsid w:val="7D1456AC"/>
    <w:rsid w:val="7D31247E"/>
    <w:rsid w:val="7D3B0A9E"/>
    <w:rsid w:val="7D456004"/>
    <w:rsid w:val="7D4C6FC3"/>
    <w:rsid w:val="7D632F2D"/>
    <w:rsid w:val="7D72749B"/>
    <w:rsid w:val="7D745ACC"/>
    <w:rsid w:val="7D7A4011"/>
    <w:rsid w:val="7DA02CE4"/>
    <w:rsid w:val="7DA927F4"/>
    <w:rsid w:val="7DA934F5"/>
    <w:rsid w:val="7DB8697F"/>
    <w:rsid w:val="7DBD57DD"/>
    <w:rsid w:val="7DDB78E1"/>
    <w:rsid w:val="7DF56D51"/>
    <w:rsid w:val="7DF71369"/>
    <w:rsid w:val="7DFB2AA7"/>
    <w:rsid w:val="7E1E3C8F"/>
    <w:rsid w:val="7E204EAE"/>
    <w:rsid w:val="7E404B1E"/>
    <w:rsid w:val="7E5959E4"/>
    <w:rsid w:val="7E5D00EB"/>
    <w:rsid w:val="7E8D3334"/>
    <w:rsid w:val="7E8D7FF2"/>
    <w:rsid w:val="7EC42AC1"/>
    <w:rsid w:val="7ED42460"/>
    <w:rsid w:val="7EDC1B88"/>
    <w:rsid w:val="7EED0D40"/>
    <w:rsid w:val="7EEF3B3B"/>
    <w:rsid w:val="7EFB2441"/>
    <w:rsid w:val="7EFE4908"/>
    <w:rsid w:val="7F082BB4"/>
    <w:rsid w:val="7F0A0882"/>
    <w:rsid w:val="7F0B18FA"/>
    <w:rsid w:val="7F1F419B"/>
    <w:rsid w:val="7F651B75"/>
    <w:rsid w:val="7F7818B1"/>
    <w:rsid w:val="7F8038D6"/>
    <w:rsid w:val="7F890AEC"/>
    <w:rsid w:val="7F8B2855"/>
    <w:rsid w:val="7FE357CA"/>
    <w:rsid w:val="7FF255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autoSpaceDE w:val="0"/>
      <w:autoSpaceDN w:val="0"/>
      <w:adjustRightInd w:val="0"/>
      <w:ind w:left="425" w:hanging="425"/>
      <w:jc w:val="center"/>
      <w:outlineLvl w:val="0"/>
    </w:pPr>
    <w:rPr>
      <w:b/>
      <w:kern w:val="0"/>
      <w:sz w:val="52"/>
      <w:szCs w:val="20"/>
    </w:rPr>
  </w:style>
  <w:style w:type="paragraph" w:styleId="3">
    <w:name w:val="heading 2"/>
    <w:basedOn w:val="1"/>
    <w:next w:val="1"/>
    <w:autoRedefine/>
    <w:qFormat/>
    <w:uiPriority w:val="0"/>
    <w:pPr>
      <w:autoSpaceDE w:val="0"/>
      <w:autoSpaceDN w:val="0"/>
      <w:adjustRightInd w:val="0"/>
      <w:spacing w:line="360" w:lineRule="auto"/>
      <w:jc w:val="center"/>
      <w:outlineLvl w:val="1"/>
    </w:pPr>
    <w:rPr>
      <w:rFonts w:ascii="宋体" w:hAnsi="宋体"/>
      <w:b/>
      <w:color w:val="000000"/>
      <w:kern w:val="0"/>
      <w:sz w:val="30"/>
      <w:szCs w:val="20"/>
    </w:rPr>
  </w:style>
  <w:style w:type="paragraph" w:styleId="4">
    <w:name w:val="heading 3"/>
    <w:basedOn w:val="1"/>
    <w:next w:val="1"/>
    <w:link w:val="73"/>
    <w:autoRedefine/>
    <w:qFormat/>
    <w:uiPriority w:val="0"/>
    <w:pPr>
      <w:autoSpaceDE w:val="0"/>
      <w:autoSpaceDN w:val="0"/>
      <w:adjustRightInd w:val="0"/>
      <w:spacing w:afterLines="50" w:line="360" w:lineRule="auto"/>
      <w:ind w:left="-4"/>
      <w:jc w:val="center"/>
      <w:outlineLvl w:val="2"/>
    </w:pPr>
    <w:rPr>
      <w:rFonts w:ascii="宋体" w:hAnsi="宋体"/>
      <w:b/>
      <w:color w:val="000000"/>
      <w:kern w:val="0"/>
      <w:sz w:val="20"/>
      <w:szCs w:val="20"/>
    </w:rPr>
  </w:style>
  <w:style w:type="paragraph" w:styleId="5">
    <w:name w:val="heading 4"/>
    <w:basedOn w:val="1"/>
    <w:next w:val="1"/>
    <w:autoRedefine/>
    <w:qFormat/>
    <w:uiPriority w:val="0"/>
    <w:pPr>
      <w:keepNext/>
      <w:keepLines/>
      <w:spacing w:line="372" w:lineRule="auto"/>
      <w:outlineLvl w:val="3"/>
    </w:pPr>
    <w:rPr>
      <w:rFonts w:ascii="Cambria" w:hAnsi="Cambria"/>
      <w:b/>
      <w:bCs/>
      <w:sz w:val="28"/>
      <w:szCs w:val="28"/>
    </w:rPr>
  </w:style>
  <w:style w:type="paragraph" w:styleId="6">
    <w:name w:val="heading 5"/>
    <w:basedOn w:val="1"/>
    <w:next w:val="1"/>
    <w:autoRedefine/>
    <w:qFormat/>
    <w:uiPriority w:val="0"/>
    <w:pPr>
      <w:keepNext/>
      <w:keepLines/>
      <w:widowControl/>
      <w:spacing w:line="372" w:lineRule="auto"/>
      <w:jc w:val="left"/>
      <w:outlineLvl w:val="4"/>
    </w:pPr>
    <w:rPr>
      <w:b/>
      <w:bCs/>
      <w:kern w:val="0"/>
      <w:sz w:val="28"/>
      <w:szCs w:val="28"/>
    </w:rPr>
  </w:style>
  <w:style w:type="paragraph" w:styleId="7">
    <w:name w:val="heading 6"/>
    <w:basedOn w:val="1"/>
    <w:next w:val="1"/>
    <w:autoRedefine/>
    <w:qFormat/>
    <w:uiPriority w:val="9"/>
    <w:pPr>
      <w:keepNext/>
      <w:keepLines/>
      <w:spacing w:before="240" w:after="64" w:line="317" w:lineRule="auto"/>
      <w:outlineLvl w:val="5"/>
    </w:pPr>
    <w:rPr>
      <w:rFonts w:ascii="Arial" w:hAnsi="Arial" w:eastAsia="黑体"/>
      <w:b/>
      <w:sz w:val="24"/>
    </w:rPr>
  </w:style>
  <w:style w:type="character" w:default="1" w:styleId="26">
    <w:name w:val="Default Paragraph Font"/>
    <w:autoRedefine/>
    <w:unhideWhenUsed/>
    <w:qFormat/>
    <w:uiPriority w:val="1"/>
  </w:style>
  <w:style w:type="table" w:default="1" w:styleId="24">
    <w:name w:val="Normal Table"/>
    <w:autoRedefine/>
    <w:unhideWhenUsed/>
    <w:qFormat/>
    <w:uiPriority w:val="99"/>
    <w:tblPr>
      <w:tblCellMar>
        <w:top w:w="0" w:type="dxa"/>
        <w:left w:w="108" w:type="dxa"/>
        <w:bottom w:w="0" w:type="dxa"/>
        <w:right w:w="108" w:type="dxa"/>
      </w:tblCellMar>
    </w:tblPr>
  </w:style>
  <w:style w:type="paragraph" w:styleId="8">
    <w:name w:val="Normal Indent"/>
    <w:basedOn w:val="1"/>
    <w:next w:val="1"/>
    <w:autoRedefine/>
    <w:unhideWhenUsed/>
    <w:qFormat/>
    <w:uiPriority w:val="0"/>
    <w:pPr>
      <w:ind w:firstLine="420"/>
    </w:pPr>
    <w:rPr>
      <w:szCs w:val="20"/>
    </w:rPr>
  </w:style>
  <w:style w:type="paragraph" w:styleId="9">
    <w:name w:val="caption"/>
    <w:basedOn w:val="1"/>
    <w:next w:val="1"/>
    <w:autoRedefine/>
    <w:qFormat/>
    <w:uiPriority w:val="0"/>
    <w:rPr>
      <w:rFonts w:ascii="Arial" w:hAnsi="Arial" w:eastAsia="黑体" w:cs="Arial"/>
      <w:sz w:val="20"/>
      <w:szCs w:val="20"/>
    </w:rPr>
  </w:style>
  <w:style w:type="paragraph" w:styleId="10">
    <w:name w:val="annotation text"/>
    <w:basedOn w:val="1"/>
    <w:autoRedefine/>
    <w:qFormat/>
    <w:uiPriority w:val="0"/>
    <w:pPr>
      <w:jc w:val="left"/>
    </w:pPr>
  </w:style>
  <w:style w:type="paragraph" w:styleId="11">
    <w:name w:val="Body Text"/>
    <w:basedOn w:val="1"/>
    <w:next w:val="1"/>
    <w:autoRedefine/>
    <w:qFormat/>
    <w:uiPriority w:val="0"/>
    <w:rPr>
      <w:rFonts w:ascii="宋体" w:hAnsi="宋体"/>
      <w:kern w:val="0"/>
      <w:sz w:val="28"/>
      <w:szCs w:val="21"/>
    </w:rPr>
  </w:style>
  <w:style w:type="paragraph" w:styleId="12">
    <w:name w:val="toc 3"/>
    <w:basedOn w:val="1"/>
    <w:next w:val="1"/>
    <w:autoRedefine/>
    <w:qFormat/>
    <w:uiPriority w:val="0"/>
    <w:pPr>
      <w:ind w:left="840" w:leftChars="400"/>
    </w:pPr>
    <w:rPr>
      <w:rFonts w:ascii="Calibri" w:hAnsi="Calibri"/>
      <w:szCs w:val="21"/>
    </w:rPr>
  </w:style>
  <w:style w:type="paragraph" w:styleId="13">
    <w:name w:val="Plain Text"/>
    <w:basedOn w:val="1"/>
    <w:autoRedefine/>
    <w:qFormat/>
    <w:uiPriority w:val="0"/>
    <w:rPr>
      <w:rFonts w:ascii="宋体" w:hAnsi="Courier New"/>
    </w:rPr>
  </w:style>
  <w:style w:type="paragraph" w:styleId="14">
    <w:name w:val="Body Text Indent 2"/>
    <w:basedOn w:val="1"/>
    <w:autoRedefine/>
    <w:unhideWhenUsed/>
    <w:qFormat/>
    <w:uiPriority w:val="99"/>
    <w:pPr>
      <w:spacing w:after="120" w:line="480" w:lineRule="auto"/>
      <w:ind w:left="420" w:leftChars="200"/>
    </w:pPr>
    <w:rPr>
      <w:rFonts w:ascii="Calibri" w:hAnsi="Calibri"/>
    </w:rPr>
  </w:style>
  <w:style w:type="paragraph" w:styleId="15">
    <w:name w:val="endnote text"/>
    <w:basedOn w:val="1"/>
    <w:autoRedefine/>
    <w:qFormat/>
    <w:uiPriority w:val="0"/>
    <w:pPr>
      <w:snapToGrid w:val="0"/>
      <w:jc w:val="left"/>
    </w:pPr>
    <w:rPr>
      <w:rFonts w:ascii="宋体" w:hAnsi="宋体"/>
      <w:kern w:val="0"/>
      <w:sz w:val="28"/>
    </w:rPr>
  </w:style>
  <w:style w:type="paragraph" w:styleId="16">
    <w:name w:val="Balloon Text"/>
    <w:basedOn w:val="1"/>
    <w:link w:val="54"/>
    <w:autoRedefine/>
    <w:qFormat/>
    <w:uiPriority w:val="0"/>
    <w:rPr>
      <w:sz w:val="18"/>
      <w:szCs w:val="18"/>
    </w:rPr>
  </w:style>
  <w:style w:type="paragraph" w:styleId="17">
    <w:name w:val="footer"/>
    <w:basedOn w:val="1"/>
    <w:autoRedefine/>
    <w:qFormat/>
    <w:uiPriority w:val="0"/>
    <w:pPr>
      <w:tabs>
        <w:tab w:val="center" w:pos="4153"/>
        <w:tab w:val="right" w:pos="8306"/>
      </w:tabs>
      <w:snapToGrid w:val="0"/>
      <w:jc w:val="left"/>
    </w:pPr>
    <w:rPr>
      <w:sz w:val="18"/>
      <w:szCs w:val="18"/>
    </w:rPr>
  </w:style>
  <w:style w:type="paragraph" w:styleId="1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qFormat/>
    <w:uiPriority w:val="0"/>
    <w:rPr>
      <w:rFonts w:ascii="Calibri" w:hAnsi="Calibri"/>
      <w:szCs w:val="21"/>
    </w:rPr>
  </w:style>
  <w:style w:type="paragraph" w:styleId="20">
    <w:name w:val="toc 2"/>
    <w:basedOn w:val="1"/>
    <w:next w:val="1"/>
    <w:autoRedefine/>
    <w:qFormat/>
    <w:uiPriority w:val="0"/>
    <w:pPr>
      <w:ind w:left="420" w:leftChars="200"/>
    </w:pPr>
    <w:rPr>
      <w:rFonts w:ascii="Calibri" w:hAnsi="Calibri"/>
      <w:szCs w:val="21"/>
    </w:rPr>
  </w:style>
  <w:style w:type="paragraph" w:styleId="21">
    <w:name w:val="Body Text 2"/>
    <w:basedOn w:val="1"/>
    <w:autoRedefine/>
    <w:qFormat/>
    <w:uiPriority w:val="0"/>
    <w:pPr>
      <w:autoSpaceDE w:val="0"/>
      <w:autoSpaceDN w:val="0"/>
      <w:adjustRightInd w:val="0"/>
      <w:jc w:val="center"/>
    </w:pPr>
    <w:rPr>
      <w:rFonts w:ascii="宋体"/>
      <w:lang w:val="zh-CN"/>
    </w:rPr>
  </w:style>
  <w:style w:type="paragraph" w:styleId="22">
    <w:name w:val="Normal (Web)"/>
    <w:basedOn w:val="1"/>
    <w:autoRedefine/>
    <w:qFormat/>
    <w:uiPriority w:val="0"/>
    <w:pPr>
      <w:spacing w:line="360" w:lineRule="auto"/>
    </w:pPr>
    <w:rPr>
      <w:sz w:val="24"/>
    </w:rPr>
  </w:style>
  <w:style w:type="paragraph" w:styleId="23">
    <w:name w:val="Body Text First Indent"/>
    <w:basedOn w:val="1"/>
    <w:autoRedefine/>
    <w:qFormat/>
    <w:uiPriority w:val="0"/>
    <w:pPr>
      <w:ind w:firstLine="420" w:firstLineChars="100"/>
    </w:pPr>
  </w:style>
  <w:style w:type="table" w:styleId="25">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7">
    <w:name w:val="Hyperlink"/>
    <w:autoRedefine/>
    <w:unhideWhenUsed/>
    <w:qFormat/>
    <w:uiPriority w:val="99"/>
    <w:rPr>
      <w:color w:val="0000FF"/>
      <w:u w:val="single"/>
    </w:rPr>
  </w:style>
  <w:style w:type="character" w:styleId="28">
    <w:name w:val="annotation reference"/>
    <w:basedOn w:val="26"/>
    <w:autoRedefine/>
    <w:qFormat/>
    <w:uiPriority w:val="0"/>
    <w:rPr>
      <w:sz w:val="21"/>
      <w:szCs w:val="21"/>
    </w:rPr>
  </w:style>
  <w:style w:type="paragraph" w:customStyle="1" w:styleId="29">
    <w:name w:val="表格文字"/>
    <w:basedOn w:val="1"/>
    <w:next w:val="11"/>
    <w:autoRedefine/>
    <w:qFormat/>
    <w:uiPriority w:val="0"/>
    <w:pPr>
      <w:jc w:val="left"/>
    </w:pPr>
    <w:rPr>
      <w:bCs/>
      <w:spacing w:val="10"/>
      <w:kern w:val="0"/>
      <w:sz w:val="24"/>
      <w:szCs w:val="20"/>
    </w:rPr>
  </w:style>
  <w:style w:type="paragraph" w:customStyle="1" w:styleId="30">
    <w:name w:val="正文 首行缩进"/>
    <w:basedOn w:val="1"/>
    <w:autoRedefine/>
    <w:qFormat/>
    <w:uiPriority w:val="0"/>
    <w:pPr>
      <w:adjustRightInd w:val="0"/>
      <w:ind w:firstLine="437"/>
      <w:jc w:val="left"/>
    </w:pPr>
    <w:rPr>
      <w:rFonts w:hint="eastAsia" w:ascii="宋体" w:hAnsi="宋体"/>
      <w:kern w:val="0"/>
      <w:szCs w:val="21"/>
    </w:rPr>
  </w:style>
  <w:style w:type="paragraph" w:customStyle="1" w:styleId="31">
    <w:name w:val="文本块1"/>
    <w:basedOn w:val="1"/>
    <w:autoRedefine/>
    <w:qFormat/>
    <w:uiPriority w:val="0"/>
    <w:pPr>
      <w:ind w:left="1440" w:leftChars="700" w:right="1440" w:rightChars="700"/>
    </w:pPr>
  </w:style>
  <w:style w:type="paragraph" w:customStyle="1" w:styleId="32">
    <w:name w:val="列出段落1"/>
    <w:basedOn w:val="1"/>
    <w:autoRedefine/>
    <w:qFormat/>
    <w:uiPriority w:val="0"/>
    <w:pPr>
      <w:ind w:firstLine="420" w:firstLineChars="200"/>
    </w:pPr>
    <w:rPr>
      <w:rFonts w:ascii="Calibri" w:hAnsi="Calibri"/>
    </w:rPr>
  </w:style>
  <w:style w:type="paragraph" w:customStyle="1" w:styleId="33">
    <w:name w:val="正文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纯文本1"/>
    <w:basedOn w:val="1"/>
    <w:autoRedefine/>
    <w:qFormat/>
    <w:uiPriority w:val="0"/>
    <w:rPr>
      <w:rFonts w:ascii="宋体" w:hAnsi="Courier New"/>
      <w:szCs w:val="20"/>
    </w:rPr>
  </w:style>
  <w:style w:type="paragraph" w:customStyle="1" w:styleId="35">
    <w:name w:val="题注4"/>
    <w:basedOn w:val="1"/>
    <w:next w:val="9"/>
    <w:autoRedefine/>
    <w:qFormat/>
    <w:uiPriority w:val="0"/>
    <w:pPr>
      <w:ind w:left="-132" w:leftChars="-64" w:right="-105" w:rightChars="-50" w:hanging="2"/>
      <w:jc w:val="center"/>
    </w:pPr>
    <w:rPr>
      <w:rFonts w:ascii="Calibri" w:hAnsi="Calibri"/>
      <w:b/>
      <w:color w:val="FF0000"/>
      <w:szCs w:val="21"/>
    </w:rPr>
  </w:style>
  <w:style w:type="paragraph" w:customStyle="1" w:styleId="36">
    <w:name w:val="_Style 2"/>
    <w:basedOn w:val="1"/>
    <w:autoRedefine/>
    <w:qFormat/>
    <w:uiPriority w:val="0"/>
    <w:pPr>
      <w:ind w:firstLine="420" w:firstLineChars="200"/>
    </w:pPr>
    <w:rPr>
      <w:rFonts w:ascii="Calibri" w:hAnsi="Calibri"/>
    </w:rPr>
  </w:style>
  <w:style w:type="paragraph" w:customStyle="1" w:styleId="37">
    <w:name w:val="Normal_30"/>
    <w:autoRedefine/>
    <w:qFormat/>
    <w:uiPriority w:val="0"/>
    <w:rPr>
      <w:rFonts w:ascii="Times New Roman" w:hAnsi="Times New Roman" w:eastAsia="Times New Roman" w:cs="Times New Roman"/>
      <w:sz w:val="24"/>
      <w:szCs w:val="24"/>
      <w:lang w:val="en-US" w:eastAsia="zh-CN" w:bidi="ar-SA"/>
    </w:rPr>
  </w:style>
  <w:style w:type="paragraph" w:customStyle="1" w:styleId="38">
    <w:name w:val="图"/>
    <w:basedOn w:val="1"/>
    <w:autoRedefine/>
    <w:qFormat/>
    <w:uiPriority w:val="0"/>
    <w:pPr>
      <w:keepNext/>
      <w:adjustRightInd w:val="0"/>
      <w:spacing w:line="300" w:lineRule="auto"/>
      <w:jc w:val="center"/>
      <w:textAlignment w:val="center"/>
    </w:pPr>
    <w:rPr>
      <w:rFonts w:ascii="Calibri" w:hAnsi="Calibri"/>
      <w:snapToGrid w:val="0"/>
      <w:spacing w:val="20"/>
      <w:kern w:val="0"/>
      <w:sz w:val="24"/>
      <w:szCs w:val="20"/>
    </w:rPr>
  </w:style>
  <w:style w:type="paragraph" w:customStyle="1" w:styleId="39">
    <w:name w:val="正文文本 31"/>
    <w:basedOn w:val="1"/>
    <w:autoRedefine/>
    <w:qFormat/>
    <w:uiPriority w:val="0"/>
    <w:rPr>
      <w:color w:val="FF0000"/>
      <w:kern w:val="0"/>
      <w:sz w:val="20"/>
      <w:szCs w:val="21"/>
    </w:rPr>
  </w:style>
  <w:style w:type="paragraph" w:customStyle="1" w:styleId="40">
    <w:name w:val="正文 New New New"/>
    <w:autoRedefine/>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41">
    <w:name w:val="正文 New"/>
    <w:autoRedefine/>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42">
    <w:name w:val="题注5"/>
    <w:basedOn w:val="1"/>
    <w:next w:val="9"/>
    <w:autoRedefine/>
    <w:qFormat/>
    <w:uiPriority w:val="0"/>
    <w:pPr>
      <w:jc w:val="center"/>
    </w:pPr>
    <w:rPr>
      <w:rFonts w:ascii="Calibri" w:hAnsi="Calibri"/>
      <w:b/>
      <w:color w:val="000000"/>
      <w:sz w:val="24"/>
      <w:szCs w:val="21"/>
    </w:rPr>
  </w:style>
  <w:style w:type="paragraph" w:customStyle="1" w:styleId="43">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4">
    <w:name w:val="正文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5">
    <w:name w:val="正文 A"/>
    <w:autoRedefine/>
    <w:qFormat/>
    <w:uiPriority w:val="0"/>
    <w:pPr>
      <w:pBdr>
        <w:top w:val="none" w:color="FFFFFF" w:sz="0" w:space="31"/>
        <w:left w:val="none" w:color="FFFFFF" w:sz="0" w:space="31"/>
        <w:bottom w:val="none" w:color="FFFFFF" w:sz="0" w:space="31"/>
        <w:right w:val="none" w:color="FFFFFF" w:sz="0" w:space="31"/>
      </w:pBdr>
    </w:pPr>
    <w:rPr>
      <w:rFonts w:ascii="Times New Roman" w:hAnsi="Times New Roman" w:eastAsia="宋体" w:cs="Times New Roman"/>
      <w:color w:val="000000"/>
      <w:szCs w:val="21"/>
      <w:u w:color="000000"/>
      <w:lang w:val="en-US" w:eastAsia="zh-CN" w:bidi="ar-SA"/>
    </w:rPr>
  </w:style>
  <w:style w:type="paragraph" w:customStyle="1" w:styleId="46">
    <w:name w:val="正文3"/>
    <w:autoRedefine/>
    <w:qFormat/>
    <w:uiPriority w:val="0"/>
    <w:pPr>
      <w:widowControl w:val="0"/>
      <w:jc w:val="both"/>
    </w:pPr>
    <w:rPr>
      <w:rFonts w:ascii="Calibri" w:hAnsi="Calibri" w:eastAsia="宋体" w:cs="Times New Roman"/>
      <w:lang w:val="en-US" w:eastAsia="zh-CN" w:bidi="ar-SA"/>
    </w:rPr>
  </w:style>
  <w:style w:type="paragraph" w:customStyle="1" w:styleId="47">
    <w:name w:val="正文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Normal_1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
    <w:name w:val="_Style 23"/>
    <w:basedOn w:val="1"/>
    <w:autoRedefine/>
    <w:qFormat/>
    <w:uiPriority w:val="0"/>
    <w:pPr>
      <w:ind w:firstLine="420" w:firstLineChars="200"/>
    </w:pPr>
  </w:style>
  <w:style w:type="paragraph" w:customStyle="1" w:styleId="50">
    <w:name w:val="Normal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表格正文"/>
    <w:basedOn w:val="1"/>
    <w:autoRedefine/>
    <w:qFormat/>
    <w:uiPriority w:val="0"/>
    <w:pPr>
      <w:widowControl/>
      <w:spacing w:line="288" w:lineRule="auto"/>
      <w:jc w:val="left"/>
    </w:pPr>
    <w:rPr>
      <w:rFonts w:ascii="Arial" w:hAnsi="Arial" w:cs="黑体"/>
      <w:sz w:val="24"/>
    </w:rPr>
  </w:style>
  <w:style w:type="paragraph" w:customStyle="1" w:styleId="52">
    <w:name w:val="Normal_27"/>
    <w:autoRedefine/>
    <w:qFormat/>
    <w:uiPriority w:val="0"/>
    <w:rPr>
      <w:rFonts w:ascii="Times New Roman" w:hAnsi="Times New Roman" w:eastAsia="Times New Roman" w:cs="Times New Roman"/>
      <w:sz w:val="24"/>
      <w:szCs w:val="24"/>
      <w:lang w:val="en-US" w:eastAsia="zh-CN" w:bidi="ar-SA"/>
    </w:rPr>
  </w:style>
  <w:style w:type="paragraph" w:customStyle="1" w:styleId="53">
    <w:name w:val="Normal_31"/>
    <w:autoRedefine/>
    <w:qFormat/>
    <w:uiPriority w:val="0"/>
    <w:rPr>
      <w:rFonts w:ascii="Times New Roman" w:hAnsi="Times New Roman" w:eastAsia="Times New Roman" w:cs="Times New Roman"/>
      <w:sz w:val="24"/>
      <w:szCs w:val="24"/>
      <w:lang w:val="en-US" w:eastAsia="zh-CN" w:bidi="ar-SA"/>
    </w:rPr>
  </w:style>
  <w:style w:type="character" w:customStyle="1" w:styleId="54">
    <w:name w:val="批注框文本 字符"/>
    <w:basedOn w:val="26"/>
    <w:link w:val="16"/>
    <w:autoRedefine/>
    <w:qFormat/>
    <w:uiPriority w:val="0"/>
    <w:rPr>
      <w:kern w:val="2"/>
      <w:sz w:val="18"/>
      <w:szCs w:val="18"/>
    </w:rPr>
  </w:style>
  <w:style w:type="paragraph" w:customStyle="1" w:styleId="55">
    <w:name w:val="正文1"/>
    <w:autoRedefine/>
    <w:qFormat/>
    <w:uiPriority w:val="0"/>
    <w:pPr>
      <w:widowControl w:val="0"/>
      <w:jc w:val="both"/>
    </w:pPr>
    <w:rPr>
      <w:rFonts w:ascii="Calibri" w:hAnsi="Calibri" w:eastAsia="宋体" w:cs="Times New Roman"/>
      <w:lang w:val="en-US" w:eastAsia="zh-CN" w:bidi="ar-SA"/>
    </w:rPr>
  </w:style>
  <w:style w:type="paragraph" w:customStyle="1" w:styleId="56">
    <w:name w:val="_Style 7"/>
    <w:basedOn w:val="1"/>
    <w:autoRedefine/>
    <w:qFormat/>
    <w:uiPriority w:val="0"/>
    <w:rPr>
      <w:rFonts w:ascii="Tahoma" w:hAnsi="Tahoma"/>
      <w:sz w:val="24"/>
      <w:szCs w:val="20"/>
    </w:rPr>
  </w:style>
  <w:style w:type="paragraph" w:customStyle="1" w:styleId="57">
    <w:name w:val="p0"/>
    <w:basedOn w:val="1"/>
    <w:autoRedefine/>
    <w:qFormat/>
    <w:uiPriority w:val="0"/>
    <w:pPr>
      <w:widowControl/>
    </w:pPr>
    <w:rPr>
      <w:kern w:val="0"/>
      <w:szCs w:val="21"/>
    </w:rPr>
  </w:style>
  <w:style w:type="paragraph" w:customStyle="1" w:styleId="58">
    <w:name w:val="正文1_0"/>
    <w:autoRedefine/>
    <w:unhideWhenUsed/>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59">
    <w:name w:val="正文2"/>
    <w:autoRedefine/>
    <w:qFormat/>
    <w:uiPriority w:val="0"/>
    <w:pPr>
      <w:widowControl w:val="0"/>
      <w:jc w:val="both"/>
    </w:pPr>
    <w:rPr>
      <w:rFonts w:ascii="Calibri" w:hAnsi="Calibri" w:eastAsia="宋体" w:cs="Times New Roman"/>
      <w:lang w:val="en-US" w:eastAsia="zh-CN" w:bidi="ar-SA"/>
    </w:rPr>
  </w:style>
  <w:style w:type="paragraph" w:customStyle="1" w:styleId="60">
    <w:name w:val="正文_4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61">
    <w:name w:val="正文_3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正文_5_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3">
    <w:name w:val="列表段落1"/>
    <w:basedOn w:val="1"/>
    <w:autoRedefine/>
    <w:qFormat/>
    <w:uiPriority w:val="34"/>
    <w:pPr>
      <w:ind w:firstLine="420" w:firstLineChars="200"/>
    </w:pPr>
  </w:style>
  <w:style w:type="paragraph" w:customStyle="1" w:styleId="64">
    <w:name w:val="Table Paragraph"/>
    <w:basedOn w:val="1"/>
    <w:autoRedefine/>
    <w:qFormat/>
    <w:uiPriority w:val="1"/>
    <w:pPr>
      <w:autoSpaceDE w:val="0"/>
      <w:autoSpaceDN w:val="0"/>
      <w:jc w:val="left"/>
    </w:pPr>
    <w:rPr>
      <w:rFonts w:ascii="宋体" w:hAnsi="宋体" w:cs="宋体"/>
      <w:kern w:val="0"/>
      <w:sz w:val="22"/>
      <w:lang w:val="zh-CN" w:bidi="zh-CN"/>
    </w:rPr>
  </w:style>
  <w:style w:type="paragraph" w:customStyle="1" w:styleId="65">
    <w:name w:val="正文_1_2"/>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66">
    <w:name w:val="正文_5_7"/>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7">
    <w:name w:val="正文_4_8"/>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8">
    <w:name w:val="正文_0_0_4"/>
    <w:autoRedefine/>
    <w:qFormat/>
    <w:uiPriority w:val="99"/>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69">
    <w:name w:val="正文_43"/>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0">
    <w:name w:val="正文_0_0_3_0"/>
    <w:autoRedefine/>
    <w:qFormat/>
    <w:uiPriority w:val="99"/>
    <w:pPr>
      <w:widowControl w:val="0"/>
      <w:jc w:val="both"/>
    </w:pPr>
    <w:rPr>
      <w:rFonts w:ascii="Times New Roman" w:hAnsi="Times New Roman" w:eastAsia="等线" w:cs="Times New Roman"/>
      <w:color w:val="0000FF"/>
      <w:kern w:val="2"/>
      <w:sz w:val="24"/>
      <w:szCs w:val="24"/>
      <w:lang w:val="en-US" w:eastAsia="zh-CN" w:bidi="ar-SA"/>
    </w:rPr>
  </w:style>
  <w:style w:type="paragraph" w:customStyle="1" w:styleId="71">
    <w:name w:val="正文_0_6"/>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2">
    <w:name w:val="p17"/>
    <w:basedOn w:val="1"/>
    <w:autoRedefine/>
    <w:qFormat/>
    <w:uiPriority w:val="0"/>
    <w:pPr>
      <w:widowControl/>
      <w:spacing w:line="360" w:lineRule="auto"/>
      <w:ind w:firstLine="420"/>
    </w:pPr>
    <w:rPr>
      <w:rFonts w:ascii="宋体" w:hAnsi="宋体" w:cs="宋体"/>
      <w:kern w:val="0"/>
      <w:sz w:val="24"/>
    </w:rPr>
  </w:style>
  <w:style w:type="character" w:customStyle="1" w:styleId="73">
    <w:name w:val="标题 3 字符"/>
    <w:link w:val="4"/>
    <w:autoRedefine/>
    <w:qFormat/>
    <w:uiPriority w:val="0"/>
    <w:rPr>
      <w:rFonts w:ascii="宋体" w:hAnsi="宋体"/>
      <w:b/>
      <w:color w:val="000000"/>
      <w:kern w:val="0"/>
      <w:sz w:val="20"/>
      <w:szCs w:val="20"/>
    </w:rPr>
  </w:style>
  <w:style w:type="paragraph" w:customStyle="1" w:styleId="74">
    <w:name w:val="正文_5"/>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5">
    <w:name w:val="正文_20"/>
    <w:autoRedefine/>
    <w:qFormat/>
    <w:uiPriority w:val="0"/>
    <w:pPr>
      <w:widowControl w:val="0"/>
      <w:jc w:val="both"/>
    </w:pPr>
    <w:rPr>
      <w:rFonts w:ascii="Calibri" w:hAnsi="Calibri" w:eastAsia="宋体" w:cs="Times New Roman"/>
      <w:color w:val="0000FF"/>
      <w:kern w:val="2"/>
      <w:sz w:val="24"/>
      <w:szCs w:val="24"/>
      <w:lang w:val="en-US" w:eastAsia="zh-CN" w:bidi="ar-SA"/>
    </w:rPr>
  </w:style>
  <w:style w:type="paragraph" w:customStyle="1" w:styleId="76">
    <w:name w:val="正文_12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77">
    <w:name w:val="正文_9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正文_20_0"/>
    <w:autoRedefine/>
    <w:qFormat/>
    <w:uiPriority w:val="0"/>
    <w:pPr>
      <w:widowControl w:val="0"/>
      <w:jc w:val="both"/>
    </w:pPr>
    <w:rPr>
      <w:rFonts w:ascii="Calibri" w:hAnsi="Calibri" w:eastAsia="宋体" w:cs="Times New Roman"/>
      <w:color w:val="0000FF"/>
      <w:kern w:val="2"/>
      <w:sz w:val="24"/>
      <w:szCs w:val="24"/>
      <w:lang w:val="en-US" w:eastAsia="zh-CN" w:bidi="ar-SA"/>
    </w:rPr>
  </w:style>
  <w:style w:type="paragraph" w:customStyle="1" w:styleId="79">
    <w:name w:val="正文_21_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0">
    <w:name w:val="_正文"/>
    <w:basedOn w:val="1"/>
    <w:autoRedefine/>
    <w:qFormat/>
    <w:uiPriority w:val="0"/>
    <w:pPr>
      <w:tabs>
        <w:tab w:val="left" w:pos="6804"/>
      </w:tabs>
      <w:ind w:firstLine="480"/>
    </w:pPr>
    <w:rPr>
      <w:rFonts w:ascii="宋体" w:hAnsi="宋体"/>
    </w:rPr>
  </w:style>
  <w:style w:type="paragraph" w:customStyle="1" w:styleId="81">
    <w:name w:val="Normal_28"/>
    <w:autoRedefine/>
    <w:qFormat/>
    <w:uiPriority w:val="0"/>
    <w:rPr>
      <w:rFonts w:ascii="Times New Roman" w:hAnsi="Times New Roman" w:eastAsia="Times New Roman" w:cs="Times New Roman"/>
      <w:sz w:val="24"/>
      <w:szCs w:val="24"/>
      <w:lang w:val="en-US" w:eastAsia="zh-CN" w:bidi="ar-SA"/>
    </w:rPr>
  </w:style>
  <w:style w:type="paragraph" w:customStyle="1" w:styleId="82">
    <w:name w:val="正文_3_1"/>
    <w:next w:val="8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3">
    <w:name w:val="正文缩进_2"/>
    <w:basedOn w:val="84"/>
    <w:autoRedefine/>
    <w:unhideWhenUsed/>
    <w:qFormat/>
    <w:uiPriority w:val="0"/>
    <w:pPr>
      <w:ind w:firstLine="420" w:firstLineChars="200"/>
    </w:pPr>
    <w:rPr>
      <w:rFonts w:ascii="Calibri" w:hAnsi="Calibri"/>
      <w:szCs w:val="22"/>
    </w:rPr>
  </w:style>
  <w:style w:type="paragraph" w:customStyle="1" w:styleId="84">
    <w:name w:val="正文_3_2"/>
    <w:next w:val="8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5">
    <w:name w:val="纯文本2"/>
    <w:basedOn w:val="1"/>
    <w:autoRedefine/>
    <w:qFormat/>
    <w:uiPriority w:val="0"/>
    <w:rPr>
      <w:rFonts w:ascii="宋体" w:hAnsi="Courier New"/>
      <w:szCs w:val="20"/>
    </w:rPr>
  </w:style>
  <w:style w:type="paragraph" w:customStyle="1" w:styleId="86">
    <w:name w:val="Normal_33"/>
    <w:autoRedefine/>
    <w:qFormat/>
    <w:uiPriority w:val="0"/>
    <w:rPr>
      <w:rFonts w:ascii="Times New Roman" w:hAnsi="Times New Roman" w:eastAsia="Times New Roman" w:cs="Times New Roman"/>
      <w:sz w:val="24"/>
      <w:szCs w:val="24"/>
      <w:lang w:val="en-US" w:eastAsia="zh-CN" w:bidi="ar-SA"/>
    </w:rPr>
  </w:style>
  <w:style w:type="table" w:customStyle="1" w:styleId="87">
    <w:name w:val="Table Normal"/>
    <w:autoRedefine/>
    <w:unhideWhenUsed/>
    <w:qFormat/>
    <w:uiPriority w:val="0"/>
    <w:tblPr>
      <w:tblCellMar>
        <w:top w:w="0" w:type="dxa"/>
        <w:left w:w="0" w:type="dxa"/>
        <w:bottom w:w="0" w:type="dxa"/>
        <w:right w:w="0" w:type="dxa"/>
      </w:tblCellMar>
    </w:tblPr>
  </w:style>
  <w:style w:type="paragraph" w:customStyle="1" w:styleId="88">
    <w:name w:val="正文_4_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9">
    <w:name w:val="正文_4_0_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0">
    <w:name w:val="正文_34"/>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1">
    <w:name w:val="正文_0"/>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92">
    <w:name w:val="正文_5_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3">
    <w:name w:val="正文_27"/>
    <w:next w:val="94"/>
    <w:autoRedefine/>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94">
    <w:name w:val="尾注文本_0"/>
    <w:basedOn w:val="95"/>
    <w:autoRedefine/>
    <w:qFormat/>
    <w:uiPriority w:val="0"/>
    <w:pPr>
      <w:snapToGrid w:val="0"/>
      <w:jc w:val="left"/>
    </w:pPr>
    <w:rPr>
      <w:rFonts w:ascii="宋体" w:hAnsi="宋体"/>
      <w:kern w:val="0"/>
      <w:sz w:val="28"/>
    </w:rPr>
  </w:style>
  <w:style w:type="paragraph" w:customStyle="1" w:styleId="95">
    <w:name w:val="正文_0_1_1"/>
    <w:next w:val="96"/>
    <w:autoRedefine/>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96">
    <w:name w:val="正文缩进_0_0"/>
    <w:basedOn w:val="95"/>
    <w:autoRedefine/>
    <w:qFormat/>
    <w:uiPriority w:val="0"/>
    <w:pPr>
      <w:widowControl/>
      <w:ind w:firstLine="420" w:firstLineChars="200"/>
      <w:jc w:val="left"/>
    </w:pPr>
    <w:rPr>
      <w:kern w:val="0"/>
      <w:sz w:val="20"/>
      <w:szCs w:val="20"/>
    </w:rPr>
  </w:style>
  <w:style w:type="character" w:customStyle="1" w:styleId="97">
    <w:name w:val="font31"/>
    <w:basedOn w:val="26"/>
    <w:autoRedefine/>
    <w:qFormat/>
    <w:uiPriority w:val="0"/>
    <w:rPr>
      <w:rFonts w:hint="eastAsia" w:ascii="宋体" w:hAnsi="宋体" w:eastAsia="宋体" w:cs="宋体"/>
      <w:color w:val="000000"/>
      <w:sz w:val="20"/>
      <w:szCs w:val="20"/>
      <w:u w:val="none"/>
    </w:rPr>
  </w:style>
  <w:style w:type="paragraph" w:customStyle="1" w:styleId="98">
    <w:name w:val="正文_15"/>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99">
    <w:name w:val="正文_35"/>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
    <w:name w:val="xl26"/>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rPr>
  </w:style>
  <w:style w:type="paragraph" w:customStyle="1" w:styleId="101">
    <w:name w:val="Normal Indent"/>
    <w:basedOn w:val="1"/>
    <w:autoRedefine/>
    <w:qFormat/>
    <w:uiPriority w:val="0"/>
    <w:pPr>
      <w:ind w:firstLine="630"/>
    </w:pPr>
    <w:rPr>
      <w:rFonts w:ascii="Times New Roman" w:hAnsi="Times New Roman" w:eastAsia="仿宋_GB2312" w:cs="Times New Roman"/>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111</Pages>
  <Words>57293</Words>
  <Characters>60546</Characters>
  <Lines>341</Lines>
  <Paragraphs>96</Paragraphs>
  <TotalTime>10</TotalTime>
  <ScaleCrop>false</ScaleCrop>
  <LinksUpToDate>false</LinksUpToDate>
  <CharactersWithSpaces>65049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2022-12-02T18:02:00Z</dcterms:created>
  <dc:creator>W浩</dc:creator>
  <cp:lastModifiedBy>ACat</cp:lastModifiedBy>
  <cp:lastPrinted>2023-06-12T05:21:00Z</cp:lastPrinted>
  <dcterms:modified xsi:type="dcterms:W3CDTF">2024-04-23T08:18:50Z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ADF24CEA08B14DB5AEDE00606D9615C5_13</vt:lpwstr>
  </property>
</Properties>
</file>