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Cs w:val="24"/>
          <w:highlight w:val="none"/>
        </w:rPr>
      </w:pPr>
    </w:p>
    <w:p>
      <w:pPr>
        <w:pStyle w:val="12"/>
        <w:spacing w:line="360" w:lineRule="auto"/>
        <w:ind w:firstLine="0" w:firstLineChars="0"/>
        <w:rPr>
          <w:rFonts w:hint="eastAsia" w:ascii="宋体" w:hAnsi="宋体" w:eastAsia="宋体" w:cs="宋体"/>
          <w:sz w:val="36"/>
          <w:szCs w:val="36"/>
          <w:highlight w:val="none"/>
        </w:rPr>
      </w:pPr>
    </w:p>
    <w:p>
      <w:pPr>
        <w:spacing w:line="360" w:lineRule="auto"/>
        <w:jc w:val="center"/>
        <w:rPr>
          <w:rFonts w:hint="eastAsia" w:ascii="宋体" w:hAnsi="宋体" w:eastAsia="宋体" w:cs="宋体"/>
          <w:b/>
          <w:sz w:val="72"/>
          <w:szCs w:val="72"/>
          <w:highlight w:val="none"/>
          <w:lang w:eastAsia="zh-CN"/>
        </w:rPr>
      </w:pPr>
      <w:r>
        <w:rPr>
          <w:rFonts w:hint="eastAsia" w:ascii="宋体" w:hAnsi="宋体" w:cs="宋体"/>
          <w:b/>
          <w:sz w:val="72"/>
          <w:szCs w:val="72"/>
          <w:highlight w:val="none"/>
          <w:lang w:eastAsia="zh-CN"/>
        </w:rPr>
        <w:t>佛山市公安局森林分局2022年购买警务辅助服务项目（第二次）</w:t>
      </w:r>
    </w:p>
    <w:p>
      <w:pPr>
        <w:pStyle w:val="12"/>
        <w:spacing w:line="360" w:lineRule="auto"/>
        <w:ind w:left="0" w:leftChars="0" w:firstLine="0" w:firstLineChars="0"/>
        <w:rPr>
          <w:rFonts w:hint="eastAsia" w:ascii="宋体" w:hAnsi="宋体" w:eastAsia="宋体" w:cs="宋体"/>
          <w:b/>
          <w:bCs/>
          <w:sz w:val="36"/>
          <w:szCs w:val="36"/>
          <w:highlight w:val="none"/>
        </w:rPr>
      </w:pPr>
    </w:p>
    <w:p>
      <w:pPr>
        <w:pStyle w:val="12"/>
        <w:spacing w:line="360" w:lineRule="auto"/>
        <w:ind w:firstLine="0" w:firstLineChars="0"/>
        <w:rPr>
          <w:rFonts w:hint="eastAsia" w:ascii="宋体" w:hAnsi="宋体" w:eastAsia="宋体" w:cs="宋体"/>
          <w:b/>
          <w:bCs/>
          <w:sz w:val="36"/>
          <w:szCs w:val="36"/>
          <w:highlight w:val="none"/>
        </w:rPr>
      </w:pPr>
    </w:p>
    <w:p>
      <w:pPr>
        <w:pStyle w:val="12"/>
        <w:spacing w:line="360" w:lineRule="auto"/>
        <w:ind w:firstLine="723"/>
        <w:rPr>
          <w:rFonts w:hint="eastAsia" w:ascii="宋体" w:hAnsi="宋体" w:eastAsia="宋体" w:cs="宋体"/>
          <w:b/>
          <w:bCs/>
          <w:sz w:val="36"/>
          <w:szCs w:val="36"/>
          <w:highlight w:val="none"/>
        </w:rPr>
      </w:pPr>
    </w:p>
    <w:p>
      <w:pPr>
        <w:spacing w:line="360" w:lineRule="auto"/>
        <w:jc w:val="center"/>
        <w:rPr>
          <w:rFonts w:hint="eastAsia" w:ascii="宋体" w:hAnsi="宋体" w:eastAsia="宋体" w:cs="宋体"/>
          <w:b/>
          <w:sz w:val="56"/>
          <w:szCs w:val="56"/>
          <w:highlight w:val="none"/>
        </w:rPr>
      </w:pPr>
      <w:r>
        <w:rPr>
          <w:rFonts w:hint="eastAsia" w:ascii="宋体" w:hAnsi="宋体" w:eastAsia="宋体" w:cs="宋体"/>
          <w:b/>
          <w:sz w:val="56"/>
          <w:szCs w:val="56"/>
          <w:highlight w:val="none"/>
        </w:rPr>
        <w:t>竞 争 性 磋 商 文 件</w:t>
      </w:r>
    </w:p>
    <w:p>
      <w:pPr>
        <w:pStyle w:val="12"/>
        <w:spacing w:line="360" w:lineRule="auto"/>
        <w:ind w:firstLine="0" w:firstLineChars="0"/>
        <w:rPr>
          <w:rFonts w:hint="eastAsia" w:ascii="宋体" w:hAnsi="宋体" w:eastAsia="宋体" w:cs="宋体"/>
          <w:b/>
          <w:bCs/>
          <w:sz w:val="36"/>
          <w:szCs w:val="36"/>
          <w:highlight w:val="none"/>
        </w:rPr>
      </w:pPr>
    </w:p>
    <w:p>
      <w:pPr>
        <w:pStyle w:val="12"/>
        <w:spacing w:line="360" w:lineRule="auto"/>
        <w:ind w:firstLine="723"/>
        <w:rPr>
          <w:rFonts w:hint="eastAsia" w:ascii="宋体" w:hAnsi="宋体" w:eastAsia="宋体" w:cs="宋体"/>
          <w:b/>
          <w:bCs/>
          <w:sz w:val="36"/>
          <w:szCs w:val="36"/>
          <w:highlight w:val="none"/>
        </w:rPr>
      </w:pPr>
    </w:p>
    <w:p>
      <w:pPr>
        <w:spacing w:line="360" w:lineRule="auto"/>
        <w:rPr>
          <w:rFonts w:hint="eastAsia" w:ascii="宋体" w:hAnsi="宋体" w:eastAsia="宋体" w:cs="宋体"/>
          <w:b/>
          <w:bCs/>
          <w:sz w:val="36"/>
          <w:szCs w:val="36"/>
          <w:highlight w:val="none"/>
        </w:rPr>
      </w:pPr>
    </w:p>
    <w:p>
      <w:pPr>
        <w:pStyle w:val="46"/>
        <w:spacing w:line="360" w:lineRule="auto"/>
        <w:rPr>
          <w:rFonts w:hint="eastAsia" w:ascii="宋体" w:hAnsi="宋体" w:eastAsia="宋体" w:cs="宋体"/>
          <w:highlight w:val="none"/>
        </w:rPr>
      </w:pPr>
    </w:p>
    <w:p>
      <w:pPr>
        <w:spacing w:line="360" w:lineRule="auto"/>
        <w:ind w:right="-70" w:rightChars="-29" w:firstLine="1928" w:firstLineChars="6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采购人：</w:t>
      </w:r>
      <w:r>
        <w:rPr>
          <w:rFonts w:hint="eastAsia" w:ascii="宋体" w:hAnsi="宋体" w:eastAsia="宋体" w:cs="宋体"/>
          <w:b/>
          <w:sz w:val="32"/>
          <w:szCs w:val="32"/>
          <w:highlight w:val="none"/>
        </w:rPr>
        <w:t>佛山市公安局</w:t>
      </w:r>
    </w:p>
    <w:p>
      <w:pPr>
        <w:spacing w:line="360" w:lineRule="auto"/>
        <w:ind w:right="-70" w:rightChars="-29" w:firstLine="1928" w:firstLineChars="6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采购项目编号：</w:t>
      </w:r>
      <w:r>
        <w:rPr>
          <w:rFonts w:hint="eastAsia" w:ascii="宋体" w:hAnsi="宋体" w:cs="宋体"/>
          <w:b/>
          <w:bCs/>
          <w:sz w:val="32"/>
          <w:szCs w:val="32"/>
          <w:highlight w:val="none"/>
          <w:lang w:eastAsia="zh-CN"/>
        </w:rPr>
        <w:t>fsganb20211204</w:t>
      </w:r>
      <w:r>
        <w:rPr>
          <w:rFonts w:hint="eastAsia" w:ascii="宋体" w:hAnsi="宋体" w:eastAsia="宋体" w:cs="宋体"/>
          <w:highlight w:val="none"/>
        </w:rPr>
        <w:fldChar w:fldCharType="begin"/>
      </w:r>
      <w:r>
        <w:rPr>
          <w:rFonts w:hint="eastAsia" w:ascii="宋体" w:hAnsi="宋体" w:eastAsia="宋体" w:cs="宋体"/>
          <w:highlight w:val="none"/>
        </w:rPr>
        <w:instrText xml:space="preserve"> DOCVARIABLE  采购编号  \* MERGEFORMAT </w:instrText>
      </w:r>
      <w:r>
        <w:rPr>
          <w:rFonts w:hint="eastAsia" w:ascii="宋体" w:hAnsi="宋体" w:eastAsia="宋体" w:cs="宋体"/>
          <w:highlight w:val="none"/>
        </w:rPr>
        <w:fldChar w:fldCharType="end"/>
      </w:r>
    </w:p>
    <w:p>
      <w:pPr>
        <w:spacing w:line="360" w:lineRule="auto"/>
        <w:rPr>
          <w:rFonts w:hint="eastAsia" w:ascii="宋体" w:hAnsi="宋体" w:eastAsia="宋体" w:cs="宋体"/>
          <w:b/>
          <w:bCs/>
          <w:sz w:val="32"/>
          <w:szCs w:val="32"/>
          <w:highlight w:val="none"/>
        </w:rPr>
      </w:pPr>
    </w:p>
    <w:p>
      <w:pPr>
        <w:pStyle w:val="12"/>
        <w:spacing w:line="360" w:lineRule="auto"/>
        <w:ind w:firstLine="640"/>
        <w:rPr>
          <w:rFonts w:hint="eastAsia" w:ascii="宋体" w:hAnsi="宋体" w:eastAsia="宋体" w:cs="宋体"/>
          <w:sz w:val="32"/>
          <w:szCs w:val="32"/>
          <w:highlight w:val="none"/>
        </w:rPr>
      </w:pPr>
    </w:p>
    <w:p>
      <w:pPr>
        <w:pStyle w:val="12"/>
        <w:spacing w:line="360" w:lineRule="auto"/>
        <w:ind w:firstLine="0" w:firstLineChars="0"/>
        <w:rPr>
          <w:rFonts w:hint="eastAsia" w:ascii="宋体" w:hAnsi="宋体" w:eastAsia="宋体" w:cs="宋体"/>
          <w:sz w:val="32"/>
          <w:szCs w:val="32"/>
          <w:highlight w:val="none"/>
        </w:rPr>
      </w:pPr>
    </w:p>
    <w:p>
      <w:pPr>
        <w:spacing w:line="360" w:lineRule="auto"/>
        <w:rPr>
          <w:rFonts w:hint="eastAsia" w:ascii="宋体" w:hAnsi="宋体" w:eastAsia="宋体" w:cs="宋体"/>
          <w:b/>
          <w:bCs/>
          <w:sz w:val="32"/>
          <w:szCs w:val="32"/>
          <w:highlight w:val="none"/>
        </w:rPr>
      </w:pPr>
    </w:p>
    <w:p>
      <w:pPr>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华睿诚项目管理有限公司 编制</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bCs/>
          <w:sz w:val="32"/>
          <w:szCs w:val="32"/>
          <w:highlight w:val="none"/>
          <w:lang w:eastAsia="zh-CN"/>
        </w:rPr>
        <w:t>202</w:t>
      </w: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lang w:eastAsia="zh-CN"/>
        </w:rPr>
        <w:t>年</w:t>
      </w:r>
      <w:r>
        <w:rPr>
          <w:rFonts w:hint="eastAsia" w:ascii="宋体" w:hAnsi="宋体" w:cs="宋体"/>
          <w:b/>
          <w:bCs/>
          <w:sz w:val="32"/>
          <w:szCs w:val="32"/>
          <w:highlight w:val="none"/>
          <w:lang w:val="en-US" w:eastAsia="zh-CN"/>
        </w:rPr>
        <w:t>1</w:t>
      </w:r>
      <w:r>
        <w:rPr>
          <w:rFonts w:hint="eastAsia" w:ascii="宋体" w:hAnsi="宋体" w:eastAsia="宋体" w:cs="宋体"/>
          <w:b/>
          <w:bCs/>
          <w:sz w:val="32"/>
          <w:szCs w:val="32"/>
          <w:highlight w:val="none"/>
        </w:rPr>
        <w:t>月</w:t>
      </w:r>
    </w:p>
    <w:p>
      <w:pPr>
        <w:spacing w:line="360" w:lineRule="auto"/>
        <w:jc w:val="center"/>
        <w:rPr>
          <w:rFonts w:hint="eastAsia" w:ascii="宋体" w:hAnsi="宋体" w:eastAsia="宋体" w:cs="宋体"/>
          <w:b/>
          <w:szCs w:val="24"/>
          <w:highlight w:val="none"/>
        </w:rPr>
        <w:sectPr>
          <w:headerReference r:id="rId3" w:type="first"/>
          <w:footerReference r:id="rId4" w:type="default"/>
          <w:type w:val="nextColumn"/>
          <w:pgSz w:w="11906" w:h="16838"/>
          <w:pgMar w:top="1247" w:right="1304" w:bottom="1247" w:left="1304" w:header="777" w:footer="714" w:gutter="0"/>
          <w:pgNumType w:start="0"/>
          <w:cols w:space="720" w:num="1"/>
          <w:titlePg/>
          <w:docGrid w:type="lines" w:linePitch="312" w:charSpace="0"/>
        </w:sectPr>
      </w:pPr>
    </w:p>
    <w:p>
      <w:pPr>
        <w:spacing w:line="360" w:lineRule="auto"/>
        <w:rPr>
          <w:rFonts w:hint="eastAsia" w:ascii="宋体" w:hAnsi="宋体" w:eastAsia="宋体" w:cs="宋体"/>
          <w:b/>
          <w:szCs w:val="24"/>
          <w:highlight w:val="none"/>
        </w:rPr>
      </w:pPr>
    </w:p>
    <w:p>
      <w:pPr>
        <w:spacing w:line="360" w:lineRule="auto"/>
        <w:jc w:val="center"/>
        <w:rPr>
          <w:rFonts w:hint="eastAsia" w:ascii="宋体" w:hAnsi="宋体" w:eastAsia="宋体" w:cs="宋体"/>
          <w:b/>
          <w:szCs w:val="24"/>
          <w:highlight w:val="none"/>
        </w:rPr>
      </w:pPr>
      <w:bookmarkStart w:id="0" w:name="_Toc436739726"/>
      <w:r>
        <w:rPr>
          <w:rFonts w:hint="eastAsia" w:ascii="宋体" w:hAnsi="宋体" w:eastAsia="宋体" w:cs="宋体"/>
          <w:b/>
          <w:szCs w:val="24"/>
          <w:highlight w:val="none"/>
        </w:rPr>
        <w:t>温馨提示</w:t>
      </w:r>
      <w:bookmarkEnd w:id="0"/>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一、  如无另行说明，响应文件递交时间为</w:t>
      </w:r>
      <w:r>
        <w:rPr>
          <w:rFonts w:hint="eastAsia" w:ascii="宋体" w:hAnsi="宋体" w:eastAsia="宋体" w:cs="宋体"/>
          <w:b/>
          <w:szCs w:val="24"/>
          <w:highlight w:val="none"/>
          <w:u w:val="single"/>
        </w:rPr>
        <w:t>递交截止时间（提交响应文件截止时间）之前30分钟</w:t>
      </w:r>
      <w:r>
        <w:rPr>
          <w:rFonts w:hint="eastAsia" w:ascii="宋体" w:hAnsi="宋体" w:eastAsia="宋体" w:cs="宋体"/>
          <w:szCs w:val="24"/>
          <w:highlight w:val="none"/>
        </w:rPr>
        <w:t>内。</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二、  为避免因迟到而失去投标资格，请</w:t>
      </w:r>
      <w:r>
        <w:rPr>
          <w:rFonts w:hint="eastAsia" w:ascii="宋体" w:hAnsi="宋体" w:eastAsia="宋体" w:cs="宋体"/>
          <w:b/>
          <w:szCs w:val="24"/>
          <w:highlight w:val="none"/>
          <w:u w:val="single"/>
        </w:rPr>
        <w:t>适当提前到达</w:t>
      </w:r>
      <w:r>
        <w:rPr>
          <w:rFonts w:hint="eastAsia" w:ascii="宋体" w:hAnsi="宋体" w:eastAsia="宋体" w:cs="宋体"/>
          <w:szCs w:val="24"/>
          <w:highlight w:val="none"/>
        </w:rPr>
        <w:t>。</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三、  响应文件应按顺序编制页码。</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四、  请仔细检查响应文件是否已按磋商文件要求</w:t>
      </w:r>
      <w:r>
        <w:rPr>
          <w:rFonts w:hint="eastAsia" w:ascii="宋体" w:hAnsi="宋体" w:eastAsia="宋体" w:cs="宋体"/>
          <w:b/>
          <w:szCs w:val="24"/>
          <w:highlight w:val="none"/>
          <w:u w:val="single"/>
        </w:rPr>
        <w:t>盖章、签名、签署日期</w:t>
      </w:r>
      <w:r>
        <w:rPr>
          <w:rFonts w:hint="eastAsia" w:ascii="宋体" w:hAnsi="宋体" w:eastAsia="宋体" w:cs="宋体"/>
          <w:szCs w:val="24"/>
          <w:highlight w:val="none"/>
        </w:rPr>
        <w:t>。</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五、  请正确填写《报价一览表》。</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六、  多子包/标段项目请仔细检查子包号，子包/标段号与子包/标段名称必须对应。</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七、  如投标（报价）产品属于许可证管理范围内的，须提交相应的许可证复印件。</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八、  以联合体形式投标/响应的，请提交《联合体共同投标协议书》。</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九、投标供应商为中型、小型、微型企业的，请提交《中小企业声明函》。</w:t>
      </w:r>
    </w:p>
    <w:p>
      <w:pPr>
        <w:tabs>
          <w:tab w:val="left" w:pos="851"/>
        </w:tabs>
        <w:spacing w:line="360" w:lineRule="auto"/>
        <w:ind w:left="480" w:hanging="480" w:hangingChars="200"/>
        <w:rPr>
          <w:rFonts w:hint="eastAsia" w:ascii="宋体" w:hAnsi="宋体" w:eastAsia="宋体" w:cs="宋体"/>
          <w:szCs w:val="24"/>
          <w:highlight w:val="none"/>
        </w:rPr>
      </w:pPr>
      <w:r>
        <w:rPr>
          <w:rFonts w:hint="eastAsia" w:ascii="宋体" w:hAnsi="宋体" w:eastAsia="宋体" w:cs="宋体"/>
          <w:szCs w:val="24"/>
          <w:highlight w:val="none"/>
        </w:rPr>
        <w:t>十、投标供应商如需对项目提出询问或质疑，应按在法定时间内以传真或扫描件方式告知代理机构。</w:t>
      </w:r>
    </w:p>
    <w:p>
      <w:pPr>
        <w:tabs>
          <w:tab w:val="left" w:pos="851"/>
        </w:tabs>
        <w:spacing w:line="360" w:lineRule="auto"/>
        <w:ind w:left="723" w:hanging="723" w:hangingChars="300"/>
        <w:rPr>
          <w:rFonts w:hint="eastAsia" w:ascii="宋体" w:hAnsi="宋体" w:eastAsia="宋体" w:cs="宋体"/>
          <w:szCs w:val="24"/>
          <w:highlight w:val="none"/>
        </w:rPr>
      </w:pPr>
      <w:r>
        <w:rPr>
          <w:rFonts w:hint="eastAsia" w:ascii="宋体" w:hAnsi="宋体" w:eastAsia="宋体" w:cs="宋体"/>
          <w:b/>
          <w:bCs/>
          <w:szCs w:val="24"/>
          <w:highlight w:val="none"/>
        </w:rPr>
        <w:t>十</w:t>
      </w:r>
      <w:r>
        <w:rPr>
          <w:rFonts w:hint="eastAsia" w:ascii="宋体" w:hAnsi="宋体" w:eastAsia="宋体" w:cs="宋体"/>
          <w:szCs w:val="24"/>
          <w:highlight w:val="none"/>
        </w:rPr>
        <w:t>一</w:t>
      </w:r>
      <w:r>
        <w:rPr>
          <w:rFonts w:hint="eastAsia" w:ascii="宋体" w:hAnsi="宋体" w:eastAsia="宋体" w:cs="宋体"/>
          <w:b/>
          <w:bCs/>
          <w:szCs w:val="24"/>
          <w:highlight w:val="none"/>
        </w:rPr>
        <w:t>、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十二、因场地有限，本代理机构无法提供停车位，不便之处敬请谅解。如有需要，请到周边的停车场停车。</w:t>
      </w:r>
    </w:p>
    <w:p>
      <w:pPr>
        <w:tabs>
          <w:tab w:val="left" w:pos="851"/>
        </w:tabs>
        <w:spacing w:line="360" w:lineRule="auto"/>
        <w:ind w:left="720" w:hanging="720" w:hangingChars="300"/>
        <w:rPr>
          <w:rFonts w:hint="eastAsia" w:ascii="宋体" w:hAnsi="宋体" w:eastAsia="宋体" w:cs="宋体"/>
          <w:b/>
          <w:szCs w:val="24"/>
          <w:highlight w:val="none"/>
        </w:rPr>
      </w:pPr>
      <w:r>
        <w:rPr>
          <w:rFonts w:hint="eastAsia" w:ascii="宋体" w:hAnsi="宋体" w:eastAsia="宋体" w:cs="宋体"/>
          <w:szCs w:val="24"/>
          <w:highlight w:val="none"/>
        </w:rPr>
        <w:t>十三、由于递交响应文件地点所处位置路段繁忙及停车紧张，</w:t>
      </w:r>
      <w:r>
        <w:rPr>
          <w:rFonts w:hint="eastAsia" w:ascii="宋体" w:hAnsi="宋体" w:eastAsia="宋体" w:cs="宋体"/>
          <w:b/>
          <w:szCs w:val="24"/>
          <w:highlight w:val="none"/>
          <w:u w:val="single"/>
        </w:rPr>
        <w:t>递交响应文件时务请提早到达！</w:t>
      </w:r>
    </w:p>
    <w:p>
      <w:pPr>
        <w:spacing w:line="360" w:lineRule="auto"/>
        <w:jc w:val="right"/>
        <w:rPr>
          <w:rFonts w:hint="eastAsia" w:ascii="宋体" w:hAnsi="宋体" w:eastAsia="宋体" w:cs="宋体"/>
          <w:szCs w:val="24"/>
          <w:highlight w:val="none"/>
        </w:rPr>
      </w:pP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（本提示内容非磋商文件的组成部分，仅为善意提醒。如有不一致，以磋商文件为准）</w:t>
      </w:r>
    </w:p>
    <w:p>
      <w:pPr>
        <w:spacing w:line="360" w:lineRule="auto"/>
        <w:rPr>
          <w:rFonts w:hint="eastAsia" w:ascii="宋体" w:hAnsi="宋体" w:eastAsia="宋体" w:cs="宋体"/>
          <w:b/>
          <w:szCs w:val="24"/>
          <w:highlight w:val="none"/>
        </w:rPr>
        <w:sectPr>
          <w:headerReference r:id="rId5" w:type="default"/>
          <w:footerReference r:id="rId6" w:type="default"/>
          <w:pgSz w:w="11906" w:h="16838"/>
          <w:pgMar w:top="1440" w:right="1286" w:bottom="1440" w:left="1440" w:header="851" w:footer="992" w:gutter="0"/>
          <w:pgNumType w:start="1"/>
          <w:cols w:space="720" w:num="1"/>
          <w:docGrid w:type="lines" w:linePitch="312" w:charSpace="0"/>
        </w:sectPr>
      </w:pPr>
    </w:p>
    <w:p>
      <w:pPr>
        <w:pStyle w:val="12"/>
        <w:spacing w:line="360" w:lineRule="auto"/>
        <w:ind w:firstLine="480"/>
        <w:rPr>
          <w:rFonts w:hint="eastAsia" w:ascii="宋体" w:hAnsi="宋体" w:eastAsia="宋体" w:cs="宋体"/>
          <w:szCs w:val="24"/>
          <w:highlight w:val="none"/>
        </w:rPr>
      </w:pP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目录</w:t>
      </w:r>
    </w:p>
    <w:p>
      <w:pPr>
        <w:pStyle w:val="25"/>
        <w:tabs>
          <w:tab w:val="right" w:leader="dot" w:pos="9180"/>
          <w:tab w:val="clear" w:pos="9288"/>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TOC \o "1-1" \h \u </w:instrText>
      </w:r>
      <w:r>
        <w:rPr>
          <w:rFonts w:hint="eastAsia" w:ascii="宋体" w:hAnsi="宋体" w:eastAsia="宋体" w:cs="宋体"/>
          <w:szCs w:val="24"/>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"_Toc25019"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第一部分  磋商邀请函</w:t>
      </w:r>
      <w:r>
        <w:rPr>
          <w:rFonts w:hint="eastAsia" w:ascii="宋体" w:hAnsi="宋体" w:eastAsia="宋体" w:cs="宋体"/>
          <w:szCs w:val="24"/>
          <w:highlight w:val="none"/>
        </w:rPr>
        <w:tab/>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PAGEREF _Toc25019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3</w:t>
      </w:r>
      <w:r>
        <w:rPr>
          <w:rFonts w:hint="eastAsia" w:ascii="宋体" w:hAnsi="宋体" w:eastAsia="宋体" w:cs="宋体"/>
          <w:szCs w:val="24"/>
          <w:highlight w:val="none"/>
        </w:rPr>
        <w:fldChar w:fldCharType="end"/>
      </w:r>
      <w:r>
        <w:rPr>
          <w:rFonts w:hint="eastAsia" w:ascii="宋体" w:hAnsi="宋体" w:eastAsia="宋体" w:cs="宋体"/>
          <w:szCs w:val="24"/>
          <w:highlight w:val="none"/>
        </w:rPr>
        <w:fldChar w:fldCharType="end"/>
      </w:r>
    </w:p>
    <w:p>
      <w:pPr>
        <w:pStyle w:val="25"/>
        <w:tabs>
          <w:tab w:val="right" w:leader="dot" w:pos="9180"/>
          <w:tab w:val="clear" w:pos="9288"/>
        </w:tabs>
        <w:spacing w:line="360" w:lineRule="auto"/>
        <w:rPr>
          <w:rFonts w:hint="eastAsia" w:ascii="宋体" w:hAnsi="宋体" w:eastAsia="宋体" w:cs="宋体"/>
          <w:szCs w:val="24"/>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"_Toc13738"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第二部分  采购项目内容</w:t>
      </w:r>
      <w:r>
        <w:rPr>
          <w:rFonts w:hint="eastAsia" w:ascii="宋体" w:hAnsi="宋体" w:eastAsia="宋体" w:cs="宋体"/>
          <w:szCs w:val="24"/>
          <w:highlight w:val="none"/>
        </w:rPr>
        <w:tab/>
      </w:r>
      <w:r>
        <w:rPr>
          <w:rFonts w:hint="eastAsia" w:ascii="宋体" w:hAnsi="宋体" w:cs="宋体"/>
          <w:szCs w:val="24"/>
          <w:highlight w:val="none"/>
          <w:lang w:val="en-US" w:eastAsia="zh-CN"/>
        </w:rPr>
        <w:t>6</w:t>
      </w:r>
      <w:r>
        <w:rPr>
          <w:rFonts w:hint="eastAsia" w:ascii="宋体" w:hAnsi="宋体" w:eastAsia="宋体" w:cs="宋体"/>
          <w:szCs w:val="24"/>
          <w:highlight w:val="none"/>
        </w:rPr>
        <w:fldChar w:fldCharType="end"/>
      </w:r>
    </w:p>
    <w:p>
      <w:pPr>
        <w:pStyle w:val="25"/>
        <w:tabs>
          <w:tab w:val="right" w:leader="dot" w:pos="9180"/>
          <w:tab w:val="clear" w:pos="9288"/>
        </w:tabs>
        <w:spacing w:line="360" w:lineRule="auto"/>
        <w:rPr>
          <w:rFonts w:hint="eastAsia" w:ascii="宋体" w:hAnsi="宋体" w:eastAsia="宋体" w:cs="宋体"/>
          <w:szCs w:val="24"/>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"_Toc25829"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第三部分  供应商须</w:t>
      </w:r>
      <w:bookmarkStart w:id="1" w:name="_Hlt43677222"/>
      <w:bookmarkStart w:id="2" w:name="_Hlt43677221"/>
      <w:r>
        <w:rPr>
          <w:rFonts w:hint="eastAsia" w:ascii="宋体" w:hAnsi="宋体" w:eastAsia="宋体" w:cs="宋体"/>
          <w:szCs w:val="24"/>
          <w:highlight w:val="none"/>
        </w:rPr>
        <w:t>知</w:t>
      </w:r>
      <w:bookmarkEnd w:id="1"/>
      <w:bookmarkEnd w:id="2"/>
      <w:r>
        <w:rPr>
          <w:rFonts w:hint="eastAsia" w:ascii="宋体" w:hAnsi="宋体" w:eastAsia="宋体" w:cs="宋体"/>
          <w:szCs w:val="24"/>
          <w:highlight w:val="none"/>
        </w:rPr>
        <w:tab/>
      </w:r>
      <w:r>
        <w:rPr>
          <w:rFonts w:hint="eastAsia" w:ascii="宋体" w:hAnsi="宋体" w:cs="宋体"/>
          <w:szCs w:val="24"/>
          <w:highlight w:val="none"/>
          <w:lang w:val="en-US" w:eastAsia="zh-CN"/>
        </w:rPr>
        <w:t>1</w:t>
      </w:r>
      <w:r>
        <w:rPr>
          <w:rFonts w:hint="eastAsia" w:ascii="宋体" w:hAnsi="宋体" w:eastAsia="宋体" w:cs="宋体"/>
          <w:szCs w:val="24"/>
          <w:highlight w:val="none"/>
        </w:rPr>
        <w:fldChar w:fldCharType="end"/>
      </w:r>
      <w:r>
        <w:rPr>
          <w:rFonts w:hint="eastAsia" w:ascii="宋体" w:hAnsi="宋体" w:cs="宋体"/>
          <w:szCs w:val="24"/>
          <w:highlight w:val="none"/>
          <w:lang w:val="en-US" w:eastAsia="zh-CN"/>
        </w:rPr>
        <w:t>3</w:t>
      </w:r>
    </w:p>
    <w:p>
      <w:pPr>
        <w:pStyle w:val="25"/>
        <w:tabs>
          <w:tab w:val="right" w:leader="dot" w:pos="9180"/>
          <w:tab w:val="clear" w:pos="9288"/>
        </w:tabs>
        <w:spacing w:line="360" w:lineRule="auto"/>
        <w:rPr>
          <w:rFonts w:hint="eastAsia" w:ascii="宋体" w:hAnsi="宋体" w:eastAsia="宋体" w:cs="宋体"/>
          <w:szCs w:val="24"/>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"_Toc25158"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第四部分  合同书范本</w:t>
      </w:r>
      <w:r>
        <w:rPr>
          <w:rFonts w:hint="eastAsia" w:ascii="宋体" w:hAnsi="宋体" w:eastAsia="宋体" w:cs="宋体"/>
          <w:szCs w:val="24"/>
          <w:highlight w:val="none"/>
        </w:rPr>
        <w:tab/>
      </w:r>
      <w:r>
        <w:rPr>
          <w:rFonts w:hint="eastAsia" w:ascii="宋体" w:hAnsi="宋体" w:cs="宋体"/>
          <w:szCs w:val="24"/>
          <w:highlight w:val="none"/>
          <w:lang w:val="en-US" w:eastAsia="zh-CN"/>
        </w:rPr>
        <w:t>4</w:t>
      </w:r>
      <w:r>
        <w:rPr>
          <w:rFonts w:hint="eastAsia" w:ascii="宋体" w:hAnsi="宋体" w:eastAsia="宋体" w:cs="宋体"/>
          <w:szCs w:val="24"/>
          <w:highlight w:val="none"/>
        </w:rPr>
        <w:fldChar w:fldCharType="end"/>
      </w:r>
      <w:r>
        <w:rPr>
          <w:rFonts w:hint="eastAsia" w:ascii="宋体" w:hAnsi="宋体" w:cs="宋体"/>
          <w:szCs w:val="24"/>
          <w:highlight w:val="none"/>
          <w:lang w:val="en-US" w:eastAsia="zh-CN"/>
        </w:rPr>
        <w:t>1</w:t>
      </w:r>
    </w:p>
    <w:p>
      <w:pPr>
        <w:pStyle w:val="25"/>
        <w:tabs>
          <w:tab w:val="right" w:leader="dot" w:pos="9180"/>
          <w:tab w:val="clear" w:pos="9288"/>
        </w:tabs>
        <w:spacing w:line="360" w:lineRule="auto"/>
        <w:rPr>
          <w:rFonts w:hint="eastAsia" w:ascii="宋体" w:hAnsi="宋体" w:eastAsia="宋体" w:cs="宋体"/>
          <w:szCs w:val="24"/>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"_Toc26883"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第五部分  响应文件格式</w:t>
      </w:r>
      <w:r>
        <w:rPr>
          <w:rFonts w:hint="eastAsia" w:ascii="宋体" w:hAnsi="宋体" w:eastAsia="宋体" w:cs="宋体"/>
          <w:szCs w:val="24"/>
          <w:highlight w:val="none"/>
        </w:rPr>
        <w:tab/>
      </w:r>
      <w:r>
        <w:rPr>
          <w:rFonts w:hint="eastAsia" w:ascii="宋体" w:hAnsi="宋体" w:cs="宋体"/>
          <w:szCs w:val="24"/>
          <w:highlight w:val="none"/>
          <w:lang w:val="en-US" w:eastAsia="zh-CN"/>
        </w:rPr>
        <w:t>4</w:t>
      </w:r>
      <w:r>
        <w:rPr>
          <w:rFonts w:hint="eastAsia" w:ascii="宋体" w:hAnsi="宋体" w:eastAsia="宋体" w:cs="宋体"/>
          <w:szCs w:val="24"/>
          <w:highlight w:val="none"/>
        </w:rPr>
        <w:fldChar w:fldCharType="end"/>
      </w:r>
      <w:r>
        <w:rPr>
          <w:rFonts w:hint="eastAsia" w:ascii="宋体" w:hAnsi="宋体" w:cs="宋体"/>
          <w:szCs w:val="24"/>
          <w:highlight w:val="none"/>
          <w:lang w:val="en-US" w:eastAsia="zh-CN"/>
        </w:rPr>
        <w:t>9</w:t>
      </w:r>
    </w:p>
    <w:p>
      <w:pPr>
        <w:pStyle w:val="25"/>
        <w:tabs>
          <w:tab w:val="right" w:leader="dot" w:pos="9180"/>
          <w:tab w:val="clear" w:pos="9288"/>
        </w:tabs>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fldChar w:fldCharType="end"/>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3"/>
        <w:spacing w:line="360" w:lineRule="auto"/>
        <w:jc w:val="center"/>
        <w:rPr>
          <w:rFonts w:hint="eastAsia" w:ascii="宋体" w:hAnsi="宋体" w:eastAsia="宋体" w:cs="宋体"/>
          <w:kern w:val="2"/>
          <w:sz w:val="28"/>
          <w:szCs w:val="28"/>
          <w:highlight w:val="none"/>
        </w:rPr>
      </w:pPr>
      <w:bookmarkStart w:id="3" w:name="_Toc25019"/>
      <w:bookmarkStart w:id="4" w:name="_Toc13537"/>
      <w:r>
        <w:rPr>
          <w:rFonts w:hint="eastAsia" w:ascii="宋体" w:hAnsi="宋体" w:eastAsia="宋体" w:cs="宋体"/>
          <w:kern w:val="2"/>
          <w:sz w:val="28"/>
          <w:szCs w:val="28"/>
          <w:highlight w:val="none"/>
        </w:rPr>
        <w:t>第一部分  磋商邀请函</w:t>
      </w:r>
      <w:bookmarkEnd w:id="3"/>
      <w:bookmarkEnd w:id="4"/>
    </w:p>
    <w:p>
      <w:pPr>
        <w:autoSpaceDE w:val="0"/>
        <w:autoSpaceDN w:val="0"/>
        <w:adjustRightInd w:val="0"/>
        <w:snapToGrid w:val="0"/>
        <w:spacing w:line="360" w:lineRule="auto"/>
        <w:ind w:firstLine="480" w:firstLineChars="200"/>
        <w:rPr>
          <w:rFonts w:hint="eastAsia" w:ascii="宋体" w:hAnsi="宋体" w:eastAsia="宋体" w:cs="宋体"/>
          <w:szCs w:val="24"/>
          <w:highlight w:val="none"/>
          <w:lang w:val="zh-CN"/>
        </w:rPr>
      </w:pPr>
      <w:bookmarkStart w:id="5" w:name="_Toc5569"/>
      <w:bookmarkStart w:id="6" w:name="_Toc13738"/>
      <w:r>
        <w:rPr>
          <w:rFonts w:hint="eastAsia" w:ascii="宋体" w:hAnsi="宋体" w:eastAsia="宋体" w:cs="宋体"/>
          <w:szCs w:val="24"/>
          <w:highlight w:val="none"/>
          <w:lang w:val="zh-CN"/>
        </w:rPr>
        <w:t>华睿诚项目管理有限公司受</w:t>
      </w:r>
      <w:r>
        <w:rPr>
          <w:rFonts w:hint="eastAsia" w:ascii="宋体" w:hAnsi="宋体" w:eastAsia="宋体" w:cs="宋体"/>
          <w:szCs w:val="24"/>
          <w:highlight w:val="none"/>
        </w:rPr>
        <w:t>佛山市公安局</w:t>
      </w:r>
      <w:r>
        <w:rPr>
          <w:rFonts w:hint="eastAsia" w:ascii="宋体" w:hAnsi="宋体" w:eastAsia="宋体" w:cs="宋体"/>
          <w:szCs w:val="24"/>
          <w:highlight w:val="none"/>
          <w:lang w:val="zh-CN"/>
        </w:rPr>
        <w:t>的委托，拟对</w:t>
      </w:r>
      <w:r>
        <w:rPr>
          <w:rFonts w:hint="eastAsia" w:ascii="宋体" w:hAnsi="宋体" w:cs="宋体"/>
          <w:szCs w:val="24"/>
          <w:highlight w:val="none"/>
          <w:lang w:eastAsia="zh-CN"/>
        </w:rPr>
        <w:t>佛山市公安局森林分局2022年购买警务辅助服务项目（第二次）</w:t>
      </w:r>
      <w:r>
        <w:rPr>
          <w:rFonts w:hint="eastAsia" w:ascii="宋体" w:hAnsi="宋体" w:eastAsia="宋体" w:cs="宋体"/>
          <w:szCs w:val="24"/>
          <w:highlight w:val="none"/>
          <w:lang w:val="zh-CN"/>
        </w:rPr>
        <w:t>进行竞争性磋商，欢迎符合资格条件的供应商参加。</w:t>
      </w:r>
    </w:p>
    <w:p>
      <w:pPr>
        <w:autoSpaceDE w:val="0"/>
        <w:autoSpaceDN w:val="0"/>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lang w:val="zh-CN"/>
        </w:rPr>
        <w:t>一、采购项目编号：</w:t>
      </w:r>
      <w:r>
        <w:rPr>
          <w:rFonts w:hint="eastAsia" w:ascii="宋体" w:hAnsi="宋体" w:cs="宋体"/>
          <w:szCs w:val="24"/>
          <w:highlight w:val="none"/>
          <w:lang w:val="zh-CN"/>
        </w:rPr>
        <w:t>fsganb20211204</w:t>
      </w:r>
    </w:p>
    <w:p>
      <w:pPr>
        <w:autoSpaceDE w:val="0"/>
        <w:autoSpaceDN w:val="0"/>
        <w:adjustRightInd w:val="0"/>
        <w:snapToGrid w:val="0"/>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二、采购项目名称：</w:t>
      </w:r>
      <w:r>
        <w:rPr>
          <w:rFonts w:hint="eastAsia" w:ascii="宋体" w:hAnsi="宋体" w:cs="宋体"/>
          <w:szCs w:val="24"/>
          <w:highlight w:val="none"/>
          <w:lang w:eastAsia="zh-CN"/>
        </w:rPr>
        <w:t>佛山市公安局森林分局2022年购买警务辅助服务项目（第二次）</w:t>
      </w:r>
    </w:p>
    <w:p>
      <w:pPr>
        <w:autoSpaceDE w:val="0"/>
        <w:autoSpaceDN w:val="0"/>
        <w:adjustRightInd w:val="0"/>
        <w:snapToGrid w:val="0"/>
        <w:spacing w:line="360" w:lineRule="auto"/>
        <w:rPr>
          <w:rFonts w:hint="eastAsia" w:ascii="宋体" w:hAnsi="宋体" w:eastAsia="宋体" w:cs="宋体"/>
          <w:szCs w:val="24"/>
          <w:highlight w:val="none"/>
          <w:lang w:val="zh-CN"/>
        </w:rPr>
      </w:pPr>
      <w:r>
        <w:rPr>
          <w:rFonts w:hint="eastAsia" w:ascii="宋体" w:hAnsi="宋体" w:eastAsia="宋体" w:cs="宋体"/>
          <w:szCs w:val="24"/>
          <w:highlight w:val="none"/>
          <w:lang w:val="zh-CN"/>
        </w:rPr>
        <w:t>三、采购项目预算金额（元）：</w:t>
      </w:r>
      <w:r>
        <w:rPr>
          <w:rFonts w:hint="eastAsia" w:ascii="宋体" w:hAnsi="宋体" w:eastAsia="宋体" w:cs="宋体"/>
          <w:szCs w:val="24"/>
          <w:highlight w:val="none"/>
        </w:rPr>
        <w:t>¥</w:t>
      </w:r>
      <w:r>
        <w:rPr>
          <w:rFonts w:hint="eastAsia" w:ascii="宋体" w:hAnsi="宋体" w:cs="宋体"/>
          <w:szCs w:val="24"/>
          <w:highlight w:val="none"/>
          <w:lang w:eastAsia="zh-CN"/>
        </w:rPr>
        <w:t>800000</w:t>
      </w:r>
      <w:r>
        <w:rPr>
          <w:rFonts w:hint="eastAsia" w:ascii="宋体" w:hAnsi="宋体" w:eastAsia="宋体" w:cs="宋体"/>
          <w:szCs w:val="24"/>
          <w:highlight w:val="none"/>
          <w:lang w:eastAsia="zh-CN"/>
        </w:rPr>
        <w:t>.00</w:t>
      </w:r>
      <w:r>
        <w:rPr>
          <w:rFonts w:hint="eastAsia" w:ascii="宋体" w:hAnsi="宋体" w:eastAsia="宋体" w:cs="宋体"/>
          <w:szCs w:val="24"/>
          <w:highlight w:val="none"/>
          <w:lang w:val="zh-CN"/>
        </w:rPr>
        <w:t xml:space="preserve">  </w:t>
      </w:r>
    </w:p>
    <w:p>
      <w:pPr>
        <w:autoSpaceDE w:val="0"/>
        <w:autoSpaceDN w:val="0"/>
        <w:adjustRightInd w:val="0"/>
        <w:snapToGrid w:val="0"/>
        <w:spacing w:line="360" w:lineRule="auto"/>
        <w:rPr>
          <w:rFonts w:hint="eastAsia" w:ascii="宋体" w:hAnsi="宋体" w:eastAsia="宋体" w:cs="宋体"/>
          <w:szCs w:val="24"/>
          <w:highlight w:val="none"/>
          <w:lang w:val="zh-CN"/>
        </w:rPr>
      </w:pPr>
      <w:r>
        <w:rPr>
          <w:rFonts w:hint="eastAsia" w:ascii="宋体" w:hAnsi="宋体" w:eastAsia="宋体" w:cs="宋体"/>
          <w:szCs w:val="24"/>
          <w:highlight w:val="none"/>
          <w:lang w:val="zh-CN"/>
        </w:rPr>
        <w:t>四、采购数量：1项</w:t>
      </w:r>
    </w:p>
    <w:p>
      <w:pPr>
        <w:autoSpaceDE w:val="0"/>
        <w:autoSpaceDN w:val="0"/>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五</w:t>
      </w:r>
      <w:r>
        <w:rPr>
          <w:rFonts w:hint="eastAsia" w:ascii="宋体" w:hAnsi="宋体" w:eastAsia="宋体" w:cs="宋体"/>
          <w:szCs w:val="24"/>
          <w:highlight w:val="none"/>
          <w:lang w:val="zh-CN"/>
        </w:rPr>
        <w:t>、</w:t>
      </w:r>
      <w:r>
        <w:rPr>
          <w:rFonts w:hint="eastAsia" w:ascii="宋体" w:hAnsi="宋体" w:eastAsia="宋体" w:cs="宋体"/>
          <w:szCs w:val="24"/>
          <w:highlight w:val="none"/>
        </w:rPr>
        <w:t>项目内容及需求：(采购项目技术规格、参数及要求，需要落实的政府采购政策)：</w:t>
      </w:r>
    </w:p>
    <w:p>
      <w:pPr>
        <w:pStyle w:val="12"/>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1、采购项目内容及需求详见《竞争性磋商文件》第二部分采购项目内容。</w:t>
      </w:r>
    </w:p>
    <w:p>
      <w:pPr>
        <w:pStyle w:val="12"/>
        <w:spacing w:line="360" w:lineRule="auto"/>
        <w:ind w:firstLine="480"/>
        <w:rPr>
          <w:rFonts w:hint="eastAsia" w:ascii="宋体" w:hAnsi="宋体" w:eastAsia="宋体" w:cs="宋体"/>
          <w:szCs w:val="24"/>
          <w:highlight w:val="none"/>
          <w:lang w:val="zh-CN"/>
        </w:rPr>
      </w:pPr>
      <w:r>
        <w:rPr>
          <w:rFonts w:hint="eastAsia" w:ascii="宋体" w:hAnsi="宋体" w:eastAsia="宋体" w:cs="宋体"/>
          <w:szCs w:val="24"/>
          <w:highlight w:val="none"/>
        </w:rPr>
        <w:t>2、采购项目最高限价（元）：¥</w:t>
      </w:r>
      <w:r>
        <w:rPr>
          <w:rFonts w:hint="eastAsia" w:ascii="宋体" w:hAnsi="宋体" w:cs="宋体"/>
          <w:szCs w:val="24"/>
          <w:highlight w:val="none"/>
          <w:lang w:eastAsia="zh-CN"/>
        </w:rPr>
        <w:t>800000</w:t>
      </w:r>
      <w:r>
        <w:rPr>
          <w:rFonts w:hint="eastAsia" w:ascii="宋体" w:hAnsi="宋体" w:cs="宋体"/>
          <w:szCs w:val="24"/>
          <w:highlight w:val="none"/>
          <w:lang w:val="en-US" w:eastAsia="zh-CN"/>
        </w:rPr>
        <w:t>.00</w:t>
      </w:r>
      <w:r>
        <w:rPr>
          <w:rFonts w:hint="eastAsia" w:ascii="宋体" w:hAnsi="宋体" w:eastAsia="宋体" w:cs="宋体"/>
          <w:szCs w:val="24"/>
          <w:highlight w:val="none"/>
          <w:lang w:val="zh-CN"/>
        </w:rPr>
        <w:t xml:space="preserve"> </w:t>
      </w:r>
    </w:p>
    <w:p>
      <w:pPr>
        <w:pStyle w:val="12"/>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3、资金来源：财政资金，但本项目采购内容不在集中采购目录以内或采购限额标准以下（不纳入政府采购管理范围）</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六、供应商资格：</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zh-CN"/>
        </w:rPr>
        <w:t>1．</w:t>
      </w:r>
      <w:r>
        <w:rPr>
          <w:rFonts w:hint="eastAsia" w:ascii="宋体" w:hAnsi="宋体" w:eastAsia="宋体" w:cs="宋体"/>
          <w:szCs w:val="24"/>
          <w:highlight w:val="none"/>
          <w:lang w:val="hr-HR"/>
        </w:rPr>
        <w:t>具备《政府采购法》第二十二条规定的条件；</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（1）具有独立承担民事责任的能力；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（2）具有良好的商业信誉和健全的财务会计制度；</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（3）具有履行合同所必需的设备和专业技术能力；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（4）有依法缴纳税收和社会保障资金的良好记录；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（5）参加政府采购活动前三年内，在经营活动中没有重大违法记录；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（6）法律、行政法规规定的其他条件。</w:t>
      </w:r>
    </w:p>
    <w:p>
      <w:pPr>
        <w:pStyle w:val="12"/>
        <w:spacing w:line="360" w:lineRule="auto"/>
        <w:ind w:firstLine="480"/>
        <w:rPr>
          <w:rFonts w:hint="eastAsia" w:ascii="宋体" w:hAnsi="宋体" w:eastAsia="宋体" w:cs="宋体"/>
          <w:color w:val="000000"/>
          <w:szCs w:val="24"/>
          <w:highlight w:val="none"/>
        </w:rPr>
      </w:pPr>
      <w:r>
        <w:rPr>
          <w:rFonts w:hint="eastAsia" w:ascii="宋体" w:hAnsi="宋体" w:eastAsia="宋体" w:cs="宋体"/>
          <w:szCs w:val="24"/>
          <w:highlight w:val="none"/>
        </w:rPr>
        <w:t>2.</w:t>
      </w: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p>
    <w:p>
      <w:pPr>
        <w:pStyle w:val="12"/>
        <w:spacing w:line="360" w:lineRule="auto"/>
        <w:ind w:firstLine="480"/>
        <w:rPr>
          <w:rFonts w:hint="eastAsia" w:ascii="宋体" w:hAnsi="宋体" w:eastAsia="宋体" w:cs="宋体"/>
          <w:color w:val="000000"/>
          <w:szCs w:val="24"/>
          <w:highlight w:val="none"/>
          <w:lang w:val="hr-HR"/>
        </w:rPr>
      </w:pPr>
      <w:r>
        <w:rPr>
          <w:rFonts w:hint="eastAsia" w:ascii="宋体" w:hAnsi="宋体" w:eastAsia="宋体" w:cs="宋体"/>
          <w:color w:val="000000"/>
          <w:szCs w:val="24"/>
          <w:highlight w:val="none"/>
        </w:rPr>
        <w:t>3.</w:t>
      </w:r>
      <w:r>
        <w:rPr>
          <w:rFonts w:hint="eastAsia" w:ascii="宋体" w:hAnsi="宋体" w:eastAsia="宋体" w:cs="宋体"/>
          <w:color w:val="000000"/>
          <w:szCs w:val="24"/>
          <w:highlight w:val="none"/>
          <w:lang w:val="hr-HR"/>
        </w:rPr>
        <w:t>供应商未被列入“信用中国”网站“记录失信被执行人或重大税收违法案件当事人名单或政府采购严重违法失信行为”记录名单；未处于中国政府采购网“政府采购严重违法失信行为信息记录”中的禁止参加政府采购活动期间。（如相关失信记录已失效，供应商需提供相关证明资料）；</w:t>
      </w:r>
    </w:p>
    <w:p>
      <w:pPr>
        <w:pStyle w:val="12"/>
        <w:spacing w:line="360" w:lineRule="auto"/>
        <w:ind w:firstLine="480"/>
        <w:rPr>
          <w:rFonts w:hint="eastAsia" w:ascii="宋体" w:hAnsi="宋体" w:eastAsia="宋体" w:cs="宋体"/>
          <w:szCs w:val="24"/>
          <w:highlight w:val="none"/>
        </w:rPr>
      </w:pPr>
      <w:r>
        <w:rPr>
          <w:rFonts w:hint="eastAsia" w:ascii="宋体" w:hAnsi="宋体" w:eastAsia="宋体" w:cs="宋体"/>
          <w:color w:val="000000"/>
          <w:szCs w:val="24"/>
          <w:highlight w:val="none"/>
        </w:rPr>
        <w:t>4.为采购项目提供整</w:t>
      </w:r>
      <w:r>
        <w:rPr>
          <w:rFonts w:hint="eastAsia" w:ascii="宋体" w:hAnsi="宋体" w:eastAsia="宋体" w:cs="宋体"/>
          <w:szCs w:val="24"/>
          <w:highlight w:val="none"/>
        </w:rPr>
        <w:t>体设计、规范编制或者项目管理、监理、检测等服务的供应商，不得再参加该采购项目/包组的其他采购活动。</w:t>
      </w:r>
    </w:p>
    <w:p>
      <w:pPr>
        <w:pStyle w:val="12"/>
        <w:spacing w:line="360" w:lineRule="auto"/>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5.本项目不接受磋商联合体。</w:t>
      </w:r>
    </w:p>
    <w:p>
      <w:pPr>
        <w:pStyle w:val="12"/>
        <w:spacing w:line="360" w:lineRule="auto"/>
        <w:ind w:firstLine="482"/>
        <w:rPr>
          <w:rFonts w:hint="eastAsia" w:ascii="宋体" w:hAnsi="宋体" w:eastAsia="宋体" w:cs="宋体"/>
          <w:b/>
          <w:bCs/>
          <w:color w:val="000000"/>
          <w:szCs w:val="24"/>
          <w:highlight w:val="none"/>
          <w:lang w:val="en-US" w:eastAsia="zh-CN"/>
        </w:rPr>
      </w:pPr>
      <w:r>
        <w:rPr>
          <w:rFonts w:hint="eastAsia" w:ascii="宋体" w:hAnsi="宋体" w:cs="宋体"/>
          <w:b/>
          <w:bCs/>
          <w:color w:val="000000"/>
          <w:szCs w:val="24"/>
          <w:highlight w:val="none"/>
          <w:lang w:val="en-US" w:eastAsia="zh-CN"/>
        </w:rPr>
        <w:t>本项目类别所属：其他未列明行业</w:t>
      </w:r>
    </w:p>
    <w:p>
      <w:pPr>
        <w:pStyle w:val="12"/>
        <w:spacing w:line="360" w:lineRule="auto"/>
        <w:ind w:firstLine="482"/>
        <w:rPr>
          <w:rFonts w:hint="eastAsia" w:ascii="宋体" w:hAnsi="宋体" w:eastAsia="宋体" w:cs="宋体"/>
          <w:b/>
          <w:bCs/>
          <w:color w:val="000000"/>
          <w:szCs w:val="24"/>
          <w:highlight w:val="none"/>
        </w:rPr>
      </w:pPr>
      <w:r>
        <w:rPr>
          <w:rFonts w:hint="eastAsia" w:ascii="宋体" w:hAnsi="宋体" w:eastAsia="宋体" w:cs="宋体"/>
          <w:b/>
          <w:bCs/>
          <w:color w:val="000000"/>
          <w:szCs w:val="24"/>
          <w:highlight w:val="none"/>
        </w:rPr>
        <w:t>温馨提示：</w:t>
      </w:r>
    </w:p>
    <w:p>
      <w:pPr>
        <w:pStyle w:val="12"/>
        <w:numPr>
          <w:ilvl w:val="0"/>
          <w:numId w:val="1"/>
        </w:numPr>
        <w:spacing w:line="360" w:lineRule="auto"/>
        <w:ind w:firstLine="482" w:firstLineChars="200"/>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疫情防控期间，前往购买竞争性磋商文件的供应商代表，应配合物业进行身份登记（核对身份证原件）并做体温检测、佩戴口罩、做好个人防护，且近14天内未有新型冠状病毒感染的肺炎疫情中高风险的旅行史，未有与发热、咳嗽等疑似病人接触史。购买竞争性磋商文件过程中应配合采购代理机构对供应商代表的信息登记。</w:t>
      </w:r>
    </w:p>
    <w:p>
      <w:pPr>
        <w:pStyle w:val="12"/>
        <w:numPr>
          <w:ilvl w:val="0"/>
          <w:numId w:val="0"/>
        </w:numPr>
        <w:spacing w:line="360" w:lineRule="auto"/>
        <w:ind w:firstLine="482" w:firstLineChars="200"/>
        <w:rPr>
          <w:rFonts w:hint="eastAsia" w:ascii="宋体" w:hAnsi="宋体" w:cs="宋体"/>
          <w:b/>
          <w:bCs/>
          <w:color w:val="000000"/>
          <w:szCs w:val="24"/>
          <w:highlight w:val="none"/>
          <w:lang w:val="en-US" w:eastAsia="zh-CN"/>
        </w:rPr>
      </w:pPr>
      <w:r>
        <w:rPr>
          <w:rFonts w:hint="eastAsia" w:ascii="宋体" w:hAnsi="宋体" w:cs="宋体"/>
          <w:b/>
          <w:bCs/>
          <w:color w:val="000000"/>
          <w:szCs w:val="24"/>
          <w:highlight w:val="none"/>
          <w:lang w:val="en-US" w:eastAsia="zh-CN"/>
        </w:rPr>
        <w:t>2、因佛山市公安局相关规定，请购买竞争性磋商文件的供应商代表应与参与开标的授权代表为同一人，如有临时更换，请于开标前一工作日告知招标代理公司，修改其开标授权代表信息，如不及时更新，后果自负。</w:t>
      </w:r>
    </w:p>
    <w:p>
      <w:pPr>
        <w:pStyle w:val="12"/>
        <w:ind w:firstLine="480" w:firstLineChars="0"/>
        <w:rPr>
          <w:rFonts w:hint="eastAsia" w:ascii="宋体" w:hAnsi="宋体" w:cs="宋体"/>
          <w:b/>
          <w:bCs/>
          <w:color w:val="000000"/>
          <w:szCs w:val="24"/>
          <w:highlight w:val="none"/>
          <w:lang w:val="en-US" w:eastAsia="zh-CN"/>
        </w:rPr>
      </w:pPr>
      <w:r>
        <w:rPr>
          <w:rFonts w:hint="eastAsia" w:ascii="宋体" w:hAnsi="宋体" w:cs="宋体"/>
          <w:b/>
          <w:bCs/>
          <w:color w:val="000000"/>
          <w:szCs w:val="24"/>
          <w:highlight w:val="none"/>
          <w:lang w:val="en-US" w:eastAsia="zh-CN"/>
        </w:rPr>
        <w:t>3、投标供应商须遵守采购人营区内部防疫要求规定。</w:t>
      </w:r>
    </w:p>
    <w:p>
      <w:pPr>
        <w:pStyle w:val="12"/>
        <w:numPr>
          <w:ilvl w:val="-1"/>
          <w:numId w:val="0"/>
        </w:numPr>
        <w:spacing w:line="360" w:lineRule="auto"/>
        <w:ind w:firstLine="480"/>
        <w:rPr>
          <w:rFonts w:hint="eastAsia" w:ascii="宋体" w:hAnsi="宋体" w:eastAsia="宋体" w:cs="宋体"/>
          <w:color w:val="000000"/>
          <w:szCs w:val="24"/>
          <w:highlight w:val="none"/>
        </w:rPr>
      </w:pPr>
      <w:r>
        <w:rPr>
          <w:rFonts w:hint="eastAsia" w:ascii="宋体" w:hAnsi="宋体" w:cs="宋体"/>
          <w:color w:val="000000"/>
          <w:szCs w:val="24"/>
          <w:highlight w:val="none"/>
          <w:lang w:val="en-US" w:eastAsia="zh-CN"/>
        </w:rPr>
        <w:t>七</w:t>
      </w:r>
      <w:r>
        <w:rPr>
          <w:rFonts w:hint="eastAsia" w:ascii="宋体" w:hAnsi="宋体" w:cs="宋体"/>
          <w:color w:val="000000"/>
          <w:szCs w:val="24"/>
          <w:highlight w:val="none"/>
          <w:lang w:eastAsia="zh-CN"/>
        </w:rPr>
        <w:t>、</w:t>
      </w:r>
      <w:r>
        <w:rPr>
          <w:rFonts w:hint="eastAsia" w:ascii="宋体" w:hAnsi="宋体" w:eastAsia="宋体" w:cs="宋体"/>
          <w:color w:val="000000"/>
          <w:szCs w:val="24"/>
          <w:highlight w:val="none"/>
        </w:rPr>
        <w:t xml:space="preserve">符合资格的供应商应当在 </w:t>
      </w:r>
      <w:r>
        <w:rPr>
          <w:rFonts w:hint="eastAsia" w:ascii="宋体" w:hAnsi="宋体" w:eastAsia="宋体" w:cs="宋体"/>
          <w:color w:val="000000"/>
          <w:szCs w:val="24"/>
          <w:highlight w:val="none"/>
          <w:lang w:eastAsia="zh-CN"/>
        </w:rPr>
        <w:t>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lang w:eastAsia="zh-CN"/>
        </w:rPr>
        <w:t>年</w:t>
      </w:r>
      <w:r>
        <w:rPr>
          <w:rFonts w:hint="eastAsia" w:ascii="宋体" w:hAnsi="宋体" w:cs="宋体"/>
          <w:color w:val="000000"/>
          <w:szCs w:val="24"/>
          <w:highlight w:val="none"/>
          <w:lang w:val="en-US" w:eastAsia="zh-CN"/>
        </w:rPr>
        <w:t>1</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11</w:t>
      </w:r>
      <w:r>
        <w:rPr>
          <w:rFonts w:hint="eastAsia" w:ascii="宋体" w:hAnsi="宋体" w:eastAsia="宋体" w:cs="宋体"/>
          <w:color w:val="000000"/>
          <w:szCs w:val="24"/>
          <w:highlight w:val="none"/>
        </w:rPr>
        <w:t>日至 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rPr>
        <w:t xml:space="preserve"> 年</w:t>
      </w:r>
      <w:r>
        <w:rPr>
          <w:rFonts w:hint="eastAsia" w:ascii="宋体" w:hAnsi="宋体" w:cs="宋体"/>
          <w:color w:val="000000"/>
          <w:szCs w:val="24"/>
          <w:highlight w:val="none"/>
          <w:lang w:val="en-US" w:eastAsia="zh-CN"/>
        </w:rPr>
        <w:t>1</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17</w:t>
      </w:r>
      <w:r>
        <w:rPr>
          <w:rFonts w:hint="eastAsia" w:ascii="宋体" w:hAnsi="宋体" w:eastAsia="宋体" w:cs="宋体"/>
          <w:color w:val="000000"/>
          <w:szCs w:val="24"/>
          <w:highlight w:val="none"/>
        </w:rPr>
        <w:t>日期间</w:t>
      </w:r>
      <w:r>
        <w:rPr>
          <w:rFonts w:hint="eastAsia" w:ascii="宋体" w:hAnsi="宋体" w:eastAsia="宋体" w:cs="宋体"/>
          <w:szCs w:val="24"/>
          <w:highlight w:val="none"/>
        </w:rPr>
        <w:t>（上午08:30至12:00,下午14:00至17:30</w:t>
      </w:r>
      <w:r>
        <w:rPr>
          <w:rFonts w:hint="eastAsia" w:ascii="宋体" w:hAnsi="宋体" w:eastAsia="宋体" w:cs="宋体"/>
          <w:color w:val="000000"/>
          <w:szCs w:val="24"/>
          <w:highlight w:val="none"/>
        </w:rPr>
        <w:t>）到华睿诚项目管理有限公司（详细地址：佛山市南海区桂城街道季华东路31号天安中心3座1410室）购买</w:t>
      </w:r>
      <w:r>
        <w:rPr>
          <w:rFonts w:hint="eastAsia" w:ascii="宋体" w:hAnsi="宋体" w:eastAsia="宋体" w:cs="宋体"/>
          <w:szCs w:val="24"/>
          <w:highlight w:val="none"/>
        </w:rPr>
        <w:t>竞争性磋商文件</w:t>
      </w:r>
      <w:r>
        <w:rPr>
          <w:rFonts w:hint="eastAsia" w:ascii="宋体" w:hAnsi="宋体" w:eastAsia="宋体" w:cs="宋体"/>
          <w:color w:val="000000"/>
          <w:szCs w:val="24"/>
          <w:highlight w:val="none"/>
        </w:rPr>
        <w:t>，</w:t>
      </w:r>
      <w:r>
        <w:rPr>
          <w:rFonts w:hint="eastAsia" w:ascii="宋体" w:hAnsi="宋体" w:eastAsia="宋体" w:cs="宋体"/>
          <w:szCs w:val="24"/>
          <w:highlight w:val="none"/>
        </w:rPr>
        <w:t>竞争性磋商文件</w:t>
      </w:r>
      <w:r>
        <w:rPr>
          <w:rFonts w:hint="eastAsia" w:ascii="宋体" w:hAnsi="宋体" w:eastAsia="宋体" w:cs="宋体"/>
          <w:color w:val="000000"/>
          <w:szCs w:val="24"/>
          <w:highlight w:val="none"/>
        </w:rPr>
        <w:t>每套售价200元（人民币），售后不退。</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highlight w:val="none"/>
        </w:rPr>
      </w:pPr>
      <w:r>
        <w:rPr>
          <w:rFonts w:hint="eastAsia" w:cs="宋体"/>
          <w:kern w:val="2"/>
          <w:highlight w:val="none"/>
          <w:lang w:val="en-US" w:eastAsia="zh-CN"/>
        </w:rPr>
        <w:t>6</w:t>
      </w:r>
      <w:r>
        <w:rPr>
          <w:rFonts w:hint="eastAsia" w:ascii="宋体" w:hAnsi="宋体" w:eastAsia="宋体" w:cs="宋体"/>
          <w:kern w:val="2"/>
          <w:highlight w:val="none"/>
        </w:rPr>
        <w:t>.1购买磋商文件需提供的资料（复印件加盖供应商公章）：</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highlight w:val="none"/>
        </w:rPr>
      </w:pPr>
      <w:r>
        <w:rPr>
          <w:rFonts w:hint="eastAsia" w:ascii="宋体" w:hAnsi="宋体" w:eastAsia="宋体" w:cs="宋体"/>
          <w:kern w:val="2"/>
          <w:highlight w:val="none"/>
        </w:rPr>
        <w:t>①有效的法人或者其他组织的营业执照等证明文件的复印件（加盖供应商公章）。</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highlight w:val="none"/>
        </w:rPr>
      </w:pPr>
      <w:r>
        <w:rPr>
          <w:rFonts w:hint="eastAsia" w:ascii="宋体" w:hAnsi="宋体" w:eastAsia="宋体" w:cs="宋体"/>
          <w:kern w:val="2"/>
          <w:highlight w:val="none"/>
        </w:rPr>
        <w:t>②法定代表人证明书及法定代表人身份证复印件和法定代表人授权委托书及授权代表身份证复印件；（如法定代表人亲自办理获取磋商文件事宜的，无需提交法定代表人授权委托书及授权代表身份证复印件。）（加盖供应商公章）</w:t>
      </w:r>
    </w:p>
    <w:p>
      <w:pPr>
        <w:pStyle w:val="109"/>
        <w:widowControl w:val="0"/>
        <w:shd w:val="clear" w:color="auto" w:fill="FFFFFF"/>
        <w:adjustRightInd w:val="0"/>
        <w:spacing w:before="0" w:beforeAutospacing="0" w:after="0" w:afterAutospacing="0" w:line="360" w:lineRule="auto"/>
        <w:ind w:firstLine="480" w:firstLineChars="200"/>
        <w:jc w:val="both"/>
        <w:rPr>
          <w:rFonts w:hint="eastAsia" w:ascii="宋体" w:hAnsi="宋体" w:eastAsia="宋体" w:cs="宋体"/>
          <w:highlight w:val="none"/>
        </w:rPr>
      </w:pPr>
      <w:r>
        <w:rPr>
          <w:rFonts w:hint="eastAsia" w:cs="宋体"/>
          <w:highlight w:val="none"/>
          <w:lang w:val="en-US" w:eastAsia="zh-CN"/>
        </w:rPr>
        <w:t>6</w:t>
      </w:r>
      <w:r>
        <w:rPr>
          <w:rFonts w:hint="eastAsia" w:ascii="宋体" w:hAnsi="宋体" w:eastAsia="宋体" w:cs="宋体"/>
          <w:highlight w:val="none"/>
        </w:rPr>
        <w:t>.2</w:t>
      </w:r>
      <w:r>
        <w:rPr>
          <w:rFonts w:hint="eastAsia" w:ascii="宋体" w:hAnsi="宋体" w:eastAsia="宋体" w:cs="宋体"/>
          <w:highlight w:val="none"/>
          <w:u w:val="single"/>
        </w:rPr>
        <w:t>选择以现场购买招标文件的</w:t>
      </w:r>
      <w:r>
        <w:rPr>
          <w:rFonts w:hint="eastAsia" w:ascii="宋体" w:hAnsi="宋体" w:eastAsia="宋体" w:cs="宋体"/>
          <w:highlight w:val="none"/>
        </w:rPr>
        <w:t>，携带“</w:t>
      </w:r>
      <w:r>
        <w:rPr>
          <w:rFonts w:hint="eastAsia" w:ascii="宋体" w:hAnsi="宋体" w:eastAsia="宋体" w:cs="宋体"/>
          <w:kern w:val="2"/>
          <w:highlight w:val="none"/>
        </w:rPr>
        <w:t>7.1购买</w:t>
      </w:r>
      <w:r>
        <w:rPr>
          <w:rFonts w:hint="eastAsia" w:ascii="宋体" w:hAnsi="宋体" w:eastAsia="宋体" w:cs="宋体"/>
          <w:highlight w:val="none"/>
        </w:rPr>
        <w:t>磋商</w:t>
      </w:r>
      <w:r>
        <w:rPr>
          <w:rFonts w:hint="eastAsia" w:ascii="宋体" w:hAnsi="宋体" w:eastAsia="宋体" w:cs="宋体"/>
          <w:kern w:val="2"/>
          <w:highlight w:val="none"/>
        </w:rPr>
        <w:t>文件需提供的资料</w:t>
      </w:r>
      <w:r>
        <w:rPr>
          <w:rFonts w:hint="eastAsia" w:ascii="宋体" w:hAnsi="宋体" w:eastAsia="宋体" w:cs="宋体"/>
          <w:highlight w:val="none"/>
        </w:rPr>
        <w:t>”到</w:t>
      </w:r>
      <w:r>
        <w:rPr>
          <w:rFonts w:hint="eastAsia" w:ascii="宋体" w:hAnsi="宋体" w:eastAsia="宋体" w:cs="宋体"/>
          <w:kern w:val="2"/>
          <w:highlight w:val="none"/>
        </w:rPr>
        <w:t>华睿诚项目管理有限公司（详细地址：佛山市南海区桂城街道季华东路31号天安中心3座1410室）</w:t>
      </w:r>
      <w:r>
        <w:rPr>
          <w:rFonts w:hint="eastAsia" w:ascii="宋体" w:hAnsi="宋体" w:eastAsia="宋体" w:cs="宋体"/>
          <w:highlight w:val="none"/>
        </w:rPr>
        <w:t>购买招标文件（电子版及纸质版）。</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cs="宋体"/>
          <w:highlight w:val="none"/>
          <w:lang w:val="en-US" w:eastAsia="zh-CN"/>
        </w:rPr>
        <w:t>6</w:t>
      </w:r>
      <w:r>
        <w:rPr>
          <w:rFonts w:hint="eastAsia" w:ascii="宋体" w:hAnsi="宋体" w:eastAsia="宋体" w:cs="宋体"/>
          <w:highlight w:val="none"/>
        </w:rPr>
        <w:t>.3</w:t>
      </w:r>
      <w:r>
        <w:rPr>
          <w:rFonts w:hint="eastAsia" w:ascii="宋体" w:hAnsi="宋体" w:eastAsia="宋体" w:cs="宋体"/>
          <w:highlight w:val="none"/>
          <w:u w:val="single"/>
        </w:rPr>
        <w:t>选择以邮寄方式购买招标文件的</w:t>
      </w:r>
      <w:r>
        <w:rPr>
          <w:rFonts w:hint="eastAsia" w:ascii="宋体" w:hAnsi="宋体" w:eastAsia="宋体" w:cs="宋体"/>
          <w:highlight w:val="none"/>
        </w:rPr>
        <w:t>，将购买磋商文件需提供的资料作为邮件附件，按以下邮件主题格式发送至购买磋商文件的邮箱进行购买磋商文件，同时应在汇款单上注明项目名称。</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①邮件主题格式：“</w:t>
      </w:r>
      <w:r>
        <w:rPr>
          <w:rFonts w:hint="eastAsia" w:ascii="宋体" w:hAnsi="宋体" w:eastAsia="宋体" w:cs="宋体"/>
          <w:highlight w:val="none"/>
          <w:u w:val="single"/>
        </w:rPr>
        <w:t xml:space="preserve">         </w:t>
      </w:r>
      <w:r>
        <w:rPr>
          <w:rFonts w:hint="eastAsia" w:ascii="宋体" w:hAnsi="宋体" w:eastAsia="宋体" w:cs="宋体"/>
          <w:highlight w:val="none"/>
        </w:rPr>
        <w:t>购买招标文件资料”；</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②购买招标文件的邮箱：huaruichengfs@163.com。</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③须另交人民币60元作为特快专递费用；款到指定账户后，采购代理机构即向供应商发出纸质磋商文件；通过邮寄方式发出的所有资料以邮递部门送达的时间为准，采购人及采购代理机构对邮件送达延误、损坏、丢失、毁灭等情形不负任何责任。</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汇款账号信息如下：</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  户 名：华睿诚项目管理有限公司佛山分公司</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 xml:space="preserve">    开户行：广东南海农村商业银行股份有限公司桂城季华分理处</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 xml:space="preserve">    账  号：800200000</w:t>
      </w:r>
      <w:r>
        <w:rPr>
          <w:rFonts w:hint="eastAsia" w:ascii="宋体" w:hAnsi="宋体" w:eastAsia="宋体" w:cs="宋体"/>
          <w:highlight w:val="none"/>
          <w:lang w:eastAsia="zh-CN"/>
        </w:rPr>
        <w:t>11</w:t>
      </w:r>
      <w:r>
        <w:rPr>
          <w:rFonts w:hint="eastAsia" w:ascii="宋体" w:hAnsi="宋体" w:eastAsia="宋体" w:cs="宋体"/>
          <w:highlight w:val="none"/>
          <w:lang w:val="en-US" w:eastAsia="zh-CN"/>
        </w:rPr>
        <w:t>9</w:t>
      </w:r>
      <w:r>
        <w:rPr>
          <w:rFonts w:hint="eastAsia" w:ascii="宋体" w:hAnsi="宋体" w:eastAsia="宋体" w:cs="宋体"/>
          <w:highlight w:val="none"/>
        </w:rPr>
        <w:t>93972</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④温馨提示：为确保供应商网络购买磋商文件是否成功，请供应商在发出邮件后致电购买文件联系人以确认购买磋商文件情况。</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注：采购代理机构对供应商提交的报名资料进行核对，不代表其投标资格的确认。供应商的投标资格最终根据其响应文件中提交的相关资料作出的审查结论为准。</w:t>
      </w:r>
    </w:p>
    <w:p>
      <w:pPr>
        <w:pStyle w:val="12"/>
        <w:spacing w:line="360" w:lineRule="auto"/>
        <w:ind w:firstLine="0" w:firstLineChars="0"/>
        <w:rPr>
          <w:rFonts w:hint="eastAsia" w:ascii="宋体" w:hAnsi="宋体" w:eastAsia="宋体" w:cs="宋体"/>
          <w:color w:val="000000"/>
          <w:szCs w:val="24"/>
          <w:highlight w:val="none"/>
        </w:rPr>
      </w:pPr>
      <w:r>
        <w:rPr>
          <w:rFonts w:hint="eastAsia" w:ascii="宋体" w:hAnsi="宋体" w:cs="宋体"/>
          <w:color w:val="000000"/>
          <w:szCs w:val="24"/>
          <w:highlight w:val="none"/>
          <w:lang w:eastAsia="zh-CN"/>
        </w:rPr>
        <w:t>七</w:t>
      </w:r>
      <w:r>
        <w:rPr>
          <w:rFonts w:hint="eastAsia" w:ascii="宋体" w:hAnsi="宋体" w:eastAsia="宋体" w:cs="宋体"/>
          <w:color w:val="000000"/>
          <w:szCs w:val="24"/>
          <w:highlight w:val="none"/>
        </w:rPr>
        <w:t>、提交磋商响应文件截止时间：</w:t>
      </w:r>
      <w:r>
        <w:rPr>
          <w:rFonts w:hint="eastAsia" w:ascii="宋体" w:hAnsi="宋体" w:eastAsia="宋体" w:cs="宋体"/>
          <w:color w:val="000000"/>
          <w:szCs w:val="24"/>
          <w:highlight w:val="none"/>
          <w:lang w:eastAsia="zh-CN"/>
        </w:rPr>
        <w:t>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lang w:eastAsia="zh-CN"/>
        </w:rPr>
        <w:t>年</w:t>
      </w:r>
      <w:r>
        <w:rPr>
          <w:rFonts w:hint="eastAsia" w:ascii="宋体" w:hAnsi="宋体" w:cs="宋体"/>
          <w:color w:val="000000"/>
          <w:szCs w:val="24"/>
          <w:highlight w:val="none"/>
          <w:lang w:val="en-US" w:eastAsia="zh-CN"/>
        </w:rPr>
        <w:t>1</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21</w:t>
      </w:r>
      <w:r>
        <w:rPr>
          <w:rFonts w:hint="eastAsia" w:ascii="宋体" w:hAnsi="宋体" w:eastAsia="宋体" w:cs="宋体"/>
          <w:color w:val="000000"/>
          <w:szCs w:val="24"/>
          <w:highlight w:val="none"/>
        </w:rPr>
        <w:t>日</w:t>
      </w:r>
      <w:r>
        <w:rPr>
          <w:rFonts w:hint="eastAsia" w:ascii="宋体" w:hAnsi="宋体" w:cs="宋体"/>
          <w:szCs w:val="24"/>
          <w:highlight w:val="none"/>
          <w:lang w:val="en-US" w:eastAsia="zh-CN"/>
        </w:rPr>
        <w:t>15</w:t>
      </w:r>
      <w:r>
        <w:rPr>
          <w:rFonts w:hint="eastAsia" w:ascii="宋体" w:hAnsi="宋体" w:eastAsia="宋体" w:cs="宋体"/>
          <w:color w:val="000000"/>
          <w:szCs w:val="24"/>
          <w:highlight w:val="none"/>
        </w:rPr>
        <w:t>时</w:t>
      </w:r>
      <w:r>
        <w:rPr>
          <w:rFonts w:hint="eastAsia" w:ascii="宋体" w:hAnsi="宋体" w:cs="宋体"/>
          <w:szCs w:val="24"/>
          <w:highlight w:val="none"/>
          <w:lang w:val="en-US" w:eastAsia="zh-CN"/>
        </w:rPr>
        <w:t>00</w:t>
      </w:r>
      <w:r>
        <w:rPr>
          <w:rFonts w:hint="eastAsia" w:ascii="宋体" w:hAnsi="宋体" w:eastAsia="宋体" w:cs="宋体"/>
          <w:color w:val="000000"/>
          <w:szCs w:val="24"/>
          <w:highlight w:val="none"/>
        </w:rPr>
        <w:t>分。</w:t>
      </w:r>
    </w:p>
    <w:p>
      <w:pPr>
        <w:pStyle w:val="12"/>
        <w:spacing w:line="360" w:lineRule="auto"/>
        <w:ind w:firstLine="0" w:firstLineChars="0"/>
        <w:rPr>
          <w:rFonts w:hint="eastAsia" w:ascii="宋体" w:hAnsi="宋体" w:eastAsia="宋体" w:cs="宋体"/>
          <w:color w:val="000000"/>
          <w:szCs w:val="24"/>
          <w:highlight w:val="none"/>
        </w:rPr>
      </w:pPr>
      <w:r>
        <w:rPr>
          <w:rFonts w:hint="eastAsia" w:ascii="宋体" w:hAnsi="宋体" w:cs="宋体"/>
          <w:color w:val="000000"/>
          <w:szCs w:val="24"/>
          <w:highlight w:val="none"/>
          <w:lang w:eastAsia="zh-CN"/>
        </w:rPr>
        <w:t>八</w:t>
      </w:r>
      <w:r>
        <w:rPr>
          <w:rFonts w:hint="eastAsia" w:ascii="宋体" w:hAnsi="宋体" w:eastAsia="宋体" w:cs="宋体"/>
          <w:color w:val="000000"/>
          <w:szCs w:val="24"/>
          <w:highlight w:val="none"/>
        </w:rPr>
        <w:t>、提交磋商响应文件地点：</w:t>
      </w:r>
      <w:r>
        <w:rPr>
          <w:rFonts w:hint="eastAsia" w:ascii="宋体" w:hAnsi="宋体" w:cs="宋体"/>
          <w:color w:val="000000"/>
          <w:szCs w:val="24"/>
          <w:highlight w:val="none"/>
          <w:lang w:eastAsia="zh-CN"/>
        </w:rPr>
        <w:t>佛山市禅城区魁奇二路37号佛山市公安局110指挥调度大楼副楼114室</w:t>
      </w:r>
      <w:r>
        <w:rPr>
          <w:rFonts w:hint="eastAsia" w:ascii="宋体" w:hAnsi="宋体" w:eastAsia="宋体" w:cs="宋体"/>
          <w:color w:val="000000"/>
          <w:szCs w:val="24"/>
          <w:highlight w:val="none"/>
        </w:rPr>
        <w:t>。</w:t>
      </w:r>
    </w:p>
    <w:p>
      <w:pPr>
        <w:adjustRightInd w:val="0"/>
        <w:snapToGrid w:val="0"/>
        <w:spacing w:line="360" w:lineRule="auto"/>
        <w:rPr>
          <w:rFonts w:hint="eastAsia" w:ascii="宋体" w:hAnsi="宋体" w:eastAsia="宋体" w:cs="宋体"/>
          <w:color w:val="000000"/>
          <w:szCs w:val="24"/>
          <w:highlight w:val="none"/>
        </w:rPr>
      </w:pPr>
      <w:r>
        <w:rPr>
          <w:rFonts w:hint="eastAsia" w:ascii="宋体" w:hAnsi="宋体" w:cs="宋体"/>
          <w:color w:val="000000"/>
          <w:szCs w:val="24"/>
          <w:highlight w:val="none"/>
          <w:lang w:eastAsia="zh-CN"/>
        </w:rPr>
        <w:t>九</w:t>
      </w:r>
      <w:r>
        <w:rPr>
          <w:rFonts w:hint="eastAsia" w:ascii="宋体" w:hAnsi="宋体" w:eastAsia="宋体" w:cs="宋体"/>
          <w:color w:val="000000"/>
          <w:szCs w:val="24"/>
          <w:highlight w:val="none"/>
        </w:rPr>
        <w:t xml:space="preserve">、磋商时间： </w:t>
      </w:r>
      <w:r>
        <w:rPr>
          <w:rFonts w:hint="eastAsia" w:ascii="宋体" w:hAnsi="宋体" w:eastAsia="宋体" w:cs="宋体"/>
          <w:color w:val="000000"/>
          <w:szCs w:val="24"/>
          <w:highlight w:val="none"/>
          <w:lang w:eastAsia="zh-CN"/>
        </w:rPr>
        <w:t>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lang w:eastAsia="zh-CN"/>
        </w:rPr>
        <w:t>年</w:t>
      </w:r>
      <w:r>
        <w:rPr>
          <w:rFonts w:hint="eastAsia" w:ascii="宋体" w:hAnsi="宋体" w:cs="宋体"/>
          <w:color w:val="000000"/>
          <w:szCs w:val="24"/>
          <w:highlight w:val="none"/>
          <w:lang w:val="en-US" w:eastAsia="zh-CN"/>
        </w:rPr>
        <w:t>1</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21</w:t>
      </w:r>
      <w:r>
        <w:rPr>
          <w:rFonts w:hint="eastAsia" w:ascii="宋体" w:hAnsi="宋体" w:eastAsia="宋体" w:cs="宋体"/>
          <w:color w:val="000000"/>
          <w:szCs w:val="24"/>
          <w:highlight w:val="none"/>
        </w:rPr>
        <w:t>日</w:t>
      </w:r>
      <w:r>
        <w:rPr>
          <w:rFonts w:hint="eastAsia" w:ascii="宋体" w:hAnsi="宋体" w:cs="宋体"/>
          <w:color w:val="000000"/>
          <w:szCs w:val="24"/>
          <w:highlight w:val="none"/>
          <w:lang w:val="en-US" w:eastAsia="zh-CN"/>
        </w:rPr>
        <w:t>15</w:t>
      </w:r>
      <w:r>
        <w:rPr>
          <w:rFonts w:hint="eastAsia" w:ascii="宋体" w:hAnsi="宋体" w:eastAsia="宋体" w:cs="宋体"/>
          <w:color w:val="000000"/>
          <w:szCs w:val="24"/>
          <w:highlight w:val="none"/>
        </w:rPr>
        <w:t>时</w:t>
      </w:r>
      <w:r>
        <w:rPr>
          <w:rFonts w:hint="eastAsia" w:ascii="宋体" w:hAnsi="宋体" w:cs="宋体"/>
          <w:color w:val="000000"/>
          <w:szCs w:val="24"/>
          <w:highlight w:val="none"/>
          <w:lang w:val="en-US" w:eastAsia="zh-CN"/>
        </w:rPr>
        <w:t>00</w:t>
      </w:r>
      <w:r>
        <w:rPr>
          <w:rFonts w:hint="eastAsia" w:ascii="宋体" w:hAnsi="宋体" w:eastAsia="宋体" w:cs="宋体"/>
          <w:color w:val="000000"/>
          <w:szCs w:val="24"/>
          <w:highlight w:val="none"/>
        </w:rPr>
        <w:t>分。</w:t>
      </w:r>
    </w:p>
    <w:p>
      <w:pPr>
        <w:adjustRightInd w:val="0"/>
        <w:snapToGrid w:val="0"/>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十、磋商地点：</w:t>
      </w:r>
      <w:r>
        <w:rPr>
          <w:rFonts w:hint="eastAsia" w:ascii="宋体" w:hAnsi="宋体" w:cs="宋体"/>
          <w:color w:val="000000"/>
          <w:szCs w:val="24"/>
          <w:highlight w:val="none"/>
          <w:lang w:eastAsia="zh-CN"/>
        </w:rPr>
        <w:t>佛山市禅城区魁奇二路37号佛山市公安局110指挥调度大楼副楼114室</w:t>
      </w:r>
      <w:r>
        <w:rPr>
          <w:rFonts w:hint="eastAsia" w:ascii="宋体" w:hAnsi="宋体" w:eastAsia="宋体" w:cs="宋体"/>
          <w:color w:val="000000"/>
          <w:szCs w:val="24"/>
          <w:highlight w:val="none"/>
        </w:rPr>
        <w:t>。</w:t>
      </w:r>
    </w:p>
    <w:p>
      <w:pPr>
        <w:adjustRightInd w:val="0"/>
        <w:snapToGrid w:val="0"/>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十</w:t>
      </w:r>
      <w:r>
        <w:rPr>
          <w:rFonts w:hint="eastAsia" w:ascii="宋体" w:hAnsi="宋体" w:cs="宋体"/>
          <w:color w:val="000000"/>
          <w:szCs w:val="24"/>
          <w:highlight w:val="none"/>
          <w:lang w:eastAsia="zh-CN"/>
        </w:rPr>
        <w:t>一</w:t>
      </w:r>
      <w:r>
        <w:rPr>
          <w:rFonts w:hint="eastAsia" w:ascii="宋体" w:hAnsi="宋体" w:eastAsia="宋体" w:cs="宋体"/>
          <w:color w:val="000000"/>
          <w:szCs w:val="24"/>
          <w:highlight w:val="none"/>
        </w:rPr>
        <w:t>、本公告期限 （</w:t>
      </w:r>
      <w:r>
        <w:rPr>
          <w:rFonts w:hint="eastAsia" w:ascii="宋体" w:hAnsi="宋体" w:eastAsia="宋体" w:cs="宋体"/>
          <w:color w:val="000000"/>
          <w:szCs w:val="24"/>
          <w:highlight w:val="none"/>
          <w:lang w:val="en-US" w:eastAsia="zh-CN"/>
        </w:rPr>
        <w:t>5</w:t>
      </w:r>
      <w:r>
        <w:rPr>
          <w:rFonts w:hint="eastAsia" w:ascii="宋体" w:hAnsi="宋体" w:eastAsia="宋体" w:cs="宋体"/>
          <w:color w:val="000000"/>
          <w:szCs w:val="24"/>
          <w:highlight w:val="none"/>
        </w:rPr>
        <w:t>个工作日）自</w:t>
      </w:r>
      <w:r>
        <w:rPr>
          <w:rFonts w:hint="eastAsia" w:ascii="宋体" w:hAnsi="宋体" w:eastAsia="宋体" w:cs="宋体"/>
          <w:color w:val="000000"/>
          <w:szCs w:val="24"/>
          <w:highlight w:val="none"/>
          <w:lang w:eastAsia="zh-CN"/>
        </w:rPr>
        <w:t>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lang w:eastAsia="zh-CN"/>
        </w:rPr>
        <w:t>年</w:t>
      </w:r>
      <w:r>
        <w:rPr>
          <w:rFonts w:hint="eastAsia" w:ascii="宋体" w:hAnsi="宋体" w:cs="宋体"/>
          <w:color w:val="000000"/>
          <w:szCs w:val="24"/>
          <w:highlight w:val="none"/>
          <w:lang w:val="en-US" w:eastAsia="zh-CN"/>
        </w:rPr>
        <w:t>1</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11</w:t>
      </w:r>
      <w:r>
        <w:rPr>
          <w:rFonts w:hint="eastAsia" w:ascii="宋体" w:hAnsi="宋体" w:eastAsia="宋体" w:cs="宋体"/>
          <w:color w:val="000000"/>
          <w:szCs w:val="24"/>
          <w:highlight w:val="none"/>
        </w:rPr>
        <w:t>日至 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rPr>
        <w:t>年</w:t>
      </w:r>
      <w:r>
        <w:rPr>
          <w:rFonts w:hint="eastAsia" w:ascii="宋体" w:hAnsi="宋体" w:cs="宋体"/>
          <w:color w:val="000000"/>
          <w:szCs w:val="24"/>
          <w:highlight w:val="none"/>
          <w:lang w:val="en-US" w:eastAsia="zh-CN"/>
        </w:rPr>
        <w:t>1</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17</w:t>
      </w:r>
      <w:r>
        <w:rPr>
          <w:rFonts w:hint="eastAsia" w:ascii="宋体" w:hAnsi="宋体" w:eastAsia="宋体" w:cs="宋体"/>
          <w:color w:val="000000"/>
          <w:szCs w:val="24"/>
          <w:highlight w:val="none"/>
        </w:rPr>
        <w:t>日止。</w:t>
      </w:r>
    </w:p>
    <w:p>
      <w:pPr>
        <w:adjustRightInd w:val="0"/>
        <w:snapToGrid w:val="0"/>
        <w:spacing w:line="360" w:lineRule="auto"/>
        <w:rPr>
          <w:rFonts w:hint="eastAsia" w:ascii="宋体" w:hAnsi="宋体" w:cs="宋体"/>
          <w:szCs w:val="24"/>
          <w:highlight w:val="none"/>
          <w:lang w:val="en-US" w:eastAsia="zh-CN"/>
        </w:rPr>
      </w:pPr>
      <w:r>
        <w:rPr>
          <w:rFonts w:hint="eastAsia" w:ascii="宋体" w:hAnsi="宋体" w:eastAsia="宋体" w:cs="宋体"/>
          <w:spacing w:val="-20"/>
          <w:kern w:val="0"/>
          <w:szCs w:val="24"/>
          <w:highlight w:val="none"/>
        </w:rPr>
        <w:t>十</w:t>
      </w:r>
      <w:r>
        <w:rPr>
          <w:rFonts w:hint="eastAsia" w:ascii="宋体" w:hAnsi="宋体" w:cs="宋体"/>
          <w:spacing w:val="-20"/>
          <w:kern w:val="0"/>
          <w:szCs w:val="24"/>
          <w:highlight w:val="none"/>
          <w:lang w:eastAsia="zh-CN"/>
        </w:rPr>
        <w:t>二</w:t>
      </w:r>
      <w:r>
        <w:rPr>
          <w:rFonts w:hint="eastAsia" w:ascii="宋体" w:hAnsi="宋体" w:eastAsia="宋体" w:cs="宋体"/>
          <w:spacing w:val="-20"/>
          <w:kern w:val="0"/>
          <w:szCs w:val="24"/>
          <w:highlight w:val="none"/>
        </w:rPr>
        <w:t>、本项目发布信息查询：（在以下媒体中发布公示及公告）：</w:t>
      </w:r>
      <w:r>
        <w:rPr>
          <w:rFonts w:hint="eastAsia" w:ascii="宋体" w:hAnsi="宋体" w:cs="宋体"/>
          <w:szCs w:val="24"/>
          <w:highlight w:val="none"/>
          <w:lang w:val="en-US" w:eastAsia="zh-CN"/>
        </w:rPr>
        <w:t>佛山市公安局政务公开平台</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十</w:t>
      </w:r>
      <w:r>
        <w:rPr>
          <w:rFonts w:hint="eastAsia" w:ascii="宋体" w:hAnsi="宋体" w:cs="宋体"/>
          <w:szCs w:val="24"/>
          <w:highlight w:val="none"/>
          <w:lang w:eastAsia="zh-CN"/>
        </w:rPr>
        <w:t>三</w:t>
      </w:r>
      <w:r>
        <w:rPr>
          <w:rFonts w:hint="eastAsia" w:ascii="宋体" w:hAnsi="宋体" w:eastAsia="宋体" w:cs="宋体"/>
          <w:szCs w:val="24"/>
          <w:highlight w:val="none"/>
        </w:rPr>
        <w:t>、联系事项</w:t>
      </w:r>
    </w:p>
    <w:tbl>
      <w:tblPr>
        <w:tblStyle w:val="44"/>
        <w:tblW w:w="9806" w:type="dxa"/>
        <w:tblInd w:w="0" w:type="dxa"/>
        <w:tblLayout w:type="fixed"/>
        <w:tblCellMar>
          <w:top w:w="0" w:type="dxa"/>
          <w:left w:w="108" w:type="dxa"/>
          <w:bottom w:w="0" w:type="dxa"/>
          <w:right w:w="108" w:type="dxa"/>
        </w:tblCellMar>
      </w:tblPr>
      <w:tblGrid>
        <w:gridCol w:w="4903"/>
        <w:gridCol w:w="4903"/>
      </w:tblGrid>
      <w:tr>
        <w:tblPrEx>
          <w:tblLayout w:type="fixed"/>
          <w:tblCellMar>
            <w:top w:w="0" w:type="dxa"/>
            <w:left w:w="108" w:type="dxa"/>
            <w:bottom w:w="0" w:type="dxa"/>
            <w:right w:w="108" w:type="dxa"/>
          </w:tblCellMar>
        </w:tblPrEx>
        <w:tc>
          <w:tcPr>
            <w:tcW w:w="9806" w:type="dxa"/>
            <w:gridSpan w:val="2"/>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采购人：佛山市公安局</w:t>
            </w:r>
          </w:p>
        </w:tc>
      </w:tr>
      <w:tr>
        <w:tblPrEx>
          <w:tblLayout w:type="fixed"/>
          <w:tblCellMar>
            <w:top w:w="0" w:type="dxa"/>
            <w:left w:w="108" w:type="dxa"/>
            <w:bottom w:w="0" w:type="dxa"/>
            <w:right w:w="108" w:type="dxa"/>
          </w:tblCellMar>
        </w:tblPrEx>
        <w:tc>
          <w:tcPr>
            <w:tcW w:w="4903" w:type="dxa"/>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highlight w:val="none"/>
              </w:rPr>
              <w:t>联系人：项目办</w:t>
            </w:r>
          </w:p>
        </w:tc>
        <w:tc>
          <w:tcPr>
            <w:tcW w:w="4903" w:type="dxa"/>
            <w:vAlign w:val="center"/>
          </w:tcPr>
          <w:p>
            <w:pPr>
              <w:pStyle w:val="97"/>
              <w:spacing w:line="360" w:lineRule="auto"/>
              <w:ind w:left="720" w:firstLine="0"/>
              <w:rPr>
                <w:rFonts w:hint="eastAsia" w:ascii="宋体" w:hAnsi="宋体" w:eastAsia="宋体" w:cs="宋体"/>
                <w:kern w:val="1"/>
                <w:szCs w:val="24"/>
                <w:highlight w:val="none"/>
              </w:rPr>
            </w:pPr>
            <w:r>
              <w:rPr>
                <w:rFonts w:hint="eastAsia" w:ascii="宋体" w:hAnsi="宋体" w:eastAsia="宋体" w:cs="宋体"/>
                <w:szCs w:val="24"/>
                <w:highlight w:val="none"/>
              </w:rPr>
              <w:t>联系电话：</w:t>
            </w:r>
            <w:r>
              <w:rPr>
                <w:rFonts w:hint="eastAsia" w:ascii="宋体" w:hAnsi="宋体" w:eastAsia="宋体" w:cs="宋体"/>
                <w:kern w:val="0"/>
                <w:szCs w:val="24"/>
                <w:highlight w:val="none"/>
              </w:rPr>
              <w:t>0757-83336888</w:t>
            </w:r>
          </w:p>
        </w:tc>
      </w:tr>
      <w:tr>
        <w:tblPrEx>
          <w:tblLayout w:type="fixed"/>
          <w:tblCellMar>
            <w:top w:w="0" w:type="dxa"/>
            <w:left w:w="108" w:type="dxa"/>
            <w:bottom w:w="0" w:type="dxa"/>
            <w:right w:w="108" w:type="dxa"/>
          </w:tblCellMar>
        </w:tblPrEx>
        <w:tc>
          <w:tcPr>
            <w:tcW w:w="9806" w:type="dxa"/>
            <w:gridSpan w:val="2"/>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采购代理机构：华睿诚项目管理有限公司</w:t>
            </w:r>
          </w:p>
        </w:tc>
      </w:tr>
      <w:tr>
        <w:tblPrEx>
          <w:tblLayout w:type="fixed"/>
          <w:tblCellMar>
            <w:top w:w="0" w:type="dxa"/>
            <w:left w:w="108" w:type="dxa"/>
            <w:bottom w:w="0" w:type="dxa"/>
            <w:right w:w="108" w:type="dxa"/>
          </w:tblCellMar>
        </w:tblPrEx>
        <w:tc>
          <w:tcPr>
            <w:tcW w:w="9806" w:type="dxa"/>
            <w:gridSpan w:val="2"/>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地址：佛山市南海区桂城街道季华东路31号天安中心3座1410室</w:t>
            </w:r>
          </w:p>
        </w:tc>
      </w:tr>
      <w:tr>
        <w:tblPrEx>
          <w:tblLayout w:type="fixed"/>
          <w:tblCellMar>
            <w:top w:w="0" w:type="dxa"/>
            <w:left w:w="108" w:type="dxa"/>
            <w:bottom w:w="0" w:type="dxa"/>
            <w:right w:w="108" w:type="dxa"/>
          </w:tblCellMar>
        </w:tblPrEx>
        <w:tc>
          <w:tcPr>
            <w:tcW w:w="4903" w:type="dxa"/>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kern w:val="1"/>
                <w:highlight w:val="none"/>
                <w:lang w:eastAsia="zh-CN"/>
              </w:rPr>
            </w:pPr>
            <w:r>
              <w:rPr>
                <w:rFonts w:hint="eastAsia" w:ascii="宋体" w:hAnsi="宋体" w:eastAsia="宋体" w:cs="宋体"/>
                <w:color w:val="auto"/>
                <w:highlight w:val="none"/>
              </w:rPr>
              <w:t>联系人：</w:t>
            </w:r>
            <w:r>
              <w:rPr>
                <w:rFonts w:hint="eastAsia" w:cs="宋体"/>
                <w:color w:val="auto"/>
                <w:highlight w:val="none"/>
                <w:lang w:val="en-US" w:eastAsia="zh-CN"/>
              </w:rPr>
              <w:t>杨小姐</w:t>
            </w:r>
            <w:r>
              <w:rPr>
                <w:rFonts w:hint="eastAsia" w:ascii="宋体" w:hAnsi="宋体" w:eastAsia="宋体" w:cs="宋体"/>
                <w:color w:val="auto"/>
                <w:highlight w:val="none"/>
                <w:lang w:val="en-US" w:eastAsia="zh-CN"/>
              </w:rPr>
              <w:t xml:space="preserve"> </w:t>
            </w:r>
          </w:p>
        </w:tc>
        <w:tc>
          <w:tcPr>
            <w:tcW w:w="4903" w:type="dxa"/>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联系电话：</w:t>
            </w:r>
            <w:r>
              <w:rPr>
                <w:rFonts w:hint="eastAsia" w:ascii="宋体" w:hAnsi="宋体" w:eastAsia="宋体" w:cs="宋体"/>
                <w:color w:val="auto"/>
                <w:kern w:val="1"/>
                <w:highlight w:val="none"/>
              </w:rPr>
              <w:t>0757-81019488</w:t>
            </w:r>
          </w:p>
        </w:tc>
      </w:tr>
      <w:tr>
        <w:tblPrEx>
          <w:tblLayout w:type="fixed"/>
          <w:tblCellMar>
            <w:top w:w="0" w:type="dxa"/>
            <w:left w:w="108" w:type="dxa"/>
            <w:bottom w:w="0" w:type="dxa"/>
            <w:right w:w="108" w:type="dxa"/>
          </w:tblCellMar>
        </w:tblPrEx>
        <w:tc>
          <w:tcPr>
            <w:tcW w:w="4903" w:type="dxa"/>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邮编：528200</w:t>
            </w:r>
          </w:p>
        </w:tc>
        <w:tc>
          <w:tcPr>
            <w:tcW w:w="4903" w:type="dxa"/>
            <w:vAlign w:val="center"/>
          </w:tcPr>
          <w:p>
            <w:pPr>
              <w:pStyle w:val="30"/>
              <w:adjustRightInd w:val="0"/>
              <w:snapToGrid w:val="0"/>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邮箱：</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"mailto:huaruichengfs@163.com" </w:instrText>
            </w:r>
            <w:r>
              <w:rPr>
                <w:rFonts w:hint="eastAsia" w:ascii="宋体" w:hAnsi="宋体" w:eastAsia="宋体" w:cs="宋体"/>
                <w:highlight w:val="none"/>
              </w:rPr>
              <w:fldChar w:fldCharType="separate"/>
            </w:r>
            <w:r>
              <w:rPr>
                <w:rFonts w:hint="eastAsia" w:ascii="宋体" w:hAnsi="宋体" w:eastAsia="宋体" w:cs="宋体"/>
                <w:color w:val="auto"/>
                <w:highlight w:val="none"/>
              </w:rPr>
              <w:t>huaruichengfs@163.com</w:t>
            </w:r>
            <w:r>
              <w:rPr>
                <w:rFonts w:hint="eastAsia" w:ascii="宋体" w:hAnsi="宋体" w:eastAsia="宋体" w:cs="宋体"/>
                <w:color w:val="auto"/>
                <w:highlight w:val="none"/>
              </w:rPr>
              <w:fldChar w:fldCharType="end"/>
            </w:r>
          </w:p>
        </w:tc>
      </w:tr>
    </w:tbl>
    <w:p>
      <w:pPr>
        <w:pStyle w:val="30"/>
        <w:adjustRightInd w:val="0"/>
        <w:snapToGrid w:val="0"/>
        <w:spacing w:before="0" w:beforeAutospacing="0" w:after="0" w:afterAutospacing="0" w:line="360" w:lineRule="auto"/>
        <w:jc w:val="both"/>
        <w:rPr>
          <w:rFonts w:hint="eastAsia" w:ascii="宋体" w:hAnsi="宋体" w:eastAsia="宋体" w:cs="宋体"/>
          <w:kern w:val="2"/>
          <w:sz w:val="28"/>
          <w:szCs w:val="28"/>
          <w:highlight w:val="none"/>
        </w:rPr>
      </w:pPr>
      <w:r>
        <w:rPr>
          <w:rFonts w:hint="eastAsia" w:ascii="宋体" w:hAnsi="宋体" w:eastAsia="宋体" w:cs="宋体"/>
          <w:b/>
          <w:bCs/>
          <w:color w:val="auto"/>
          <w:highlight w:val="none"/>
        </w:rPr>
        <w:t>注意事项：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r>
        <w:rPr>
          <w:rFonts w:hint="eastAsia" w:ascii="宋体" w:hAnsi="宋体" w:eastAsia="宋体" w:cs="宋体"/>
          <w:kern w:val="2"/>
          <w:sz w:val="28"/>
          <w:szCs w:val="28"/>
          <w:highlight w:val="none"/>
        </w:rPr>
        <w:br w:type="page"/>
      </w:r>
    </w:p>
    <w:p>
      <w:pPr>
        <w:pStyle w:val="3"/>
        <w:spacing w:line="360" w:lineRule="auto"/>
        <w:jc w:val="center"/>
        <w:rPr>
          <w:rFonts w:hint="eastAsia" w:ascii="宋体" w:hAnsi="宋体" w:eastAsia="宋体" w:cs="宋体"/>
          <w:sz w:val="24"/>
          <w:szCs w:val="24"/>
          <w:highlight w:val="none"/>
        </w:rPr>
      </w:pPr>
      <w:r>
        <w:rPr>
          <w:rFonts w:hint="eastAsia" w:ascii="宋体" w:hAnsi="宋体" w:eastAsia="宋体" w:cs="宋体"/>
          <w:kern w:val="2"/>
          <w:sz w:val="28"/>
          <w:szCs w:val="28"/>
          <w:highlight w:val="none"/>
        </w:rPr>
        <w:t>第二部分  采购项目内容</w:t>
      </w:r>
      <w:bookmarkEnd w:id="5"/>
      <w:bookmarkEnd w:id="6"/>
    </w:p>
    <w:p>
      <w:pPr>
        <w:pStyle w:val="4"/>
        <w:spacing w:line="360" w:lineRule="auto"/>
        <w:jc w:val="center"/>
        <w:rPr>
          <w:rFonts w:hint="eastAsia" w:ascii="宋体" w:hAnsi="宋体" w:eastAsia="宋体" w:cs="宋体"/>
          <w:sz w:val="24"/>
          <w:szCs w:val="24"/>
          <w:highlight w:val="none"/>
        </w:rPr>
      </w:pPr>
      <w:bookmarkStart w:id="7" w:name="_Toc7161"/>
      <w:bookmarkStart w:id="8" w:name="_Toc398852257"/>
      <w:bookmarkStart w:id="9" w:name="_Toc395019917"/>
      <w:bookmarkStart w:id="10" w:name="_Toc395019916"/>
      <w:r>
        <w:rPr>
          <w:rFonts w:hint="eastAsia" w:ascii="宋体" w:hAnsi="宋体" w:eastAsia="宋体" w:cs="宋体"/>
          <w:sz w:val="24"/>
          <w:szCs w:val="24"/>
          <w:highlight w:val="none"/>
        </w:rPr>
        <w:t>（一）、供应商资格要求</w:t>
      </w:r>
      <w:bookmarkEnd w:id="7"/>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zh-CN"/>
        </w:rPr>
        <w:t>1．</w:t>
      </w:r>
      <w:r>
        <w:rPr>
          <w:rFonts w:hint="eastAsia" w:ascii="宋体" w:hAnsi="宋体" w:eastAsia="宋体" w:cs="宋体"/>
          <w:szCs w:val="24"/>
          <w:highlight w:val="none"/>
          <w:lang w:val="hr-HR"/>
        </w:rPr>
        <w:t>具备《政府采购法》第二十二条规定的条件；</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（1）具有独立承担民事责任的能力；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（2）具有良好的商业信誉和健全的财务会计制度；</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（3）具有履行合同所必需的设备和专业技术能力；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（4）有依法缴纳税收和社会保障资金的良好记录；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（5）参加政府采购活动前三年内，在经营活动中没有重大违法记录；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（6）法律、行政法规规定的其他条件。</w:t>
      </w:r>
    </w:p>
    <w:p>
      <w:pPr>
        <w:pStyle w:val="12"/>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2.</w:t>
      </w: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p>
    <w:p>
      <w:pPr>
        <w:pStyle w:val="12"/>
        <w:spacing w:line="360" w:lineRule="auto"/>
        <w:ind w:firstLine="480"/>
        <w:rPr>
          <w:rFonts w:hint="eastAsia" w:ascii="宋体" w:hAnsi="宋体" w:eastAsia="宋体" w:cs="宋体"/>
          <w:color w:val="000000"/>
          <w:szCs w:val="24"/>
          <w:highlight w:val="none"/>
          <w:lang w:val="hr-HR"/>
        </w:rPr>
      </w:pPr>
      <w:r>
        <w:rPr>
          <w:rFonts w:hint="eastAsia" w:ascii="宋体" w:hAnsi="宋体" w:eastAsia="宋体" w:cs="宋体"/>
          <w:color w:val="000000"/>
          <w:szCs w:val="24"/>
          <w:highlight w:val="none"/>
        </w:rPr>
        <w:t>3.</w:t>
      </w:r>
      <w:r>
        <w:rPr>
          <w:rFonts w:hint="eastAsia" w:ascii="宋体" w:hAnsi="宋体" w:eastAsia="宋体" w:cs="宋体"/>
          <w:color w:val="000000"/>
          <w:szCs w:val="24"/>
          <w:highlight w:val="none"/>
          <w:lang w:val="hr-HR"/>
        </w:rPr>
        <w:t>供应商未被列入“信用中国”网站“记录失信被执行人或重大税收违法案件当事人名单或政府采购严重违法失信行为”记录名单；未处于中国政府采购网“政府采购严重违法失信行为信息记录”中的禁止参加政府采购活动期间。（如相关失信记录已失效，供应商需提供相关证明资料）；</w:t>
      </w:r>
    </w:p>
    <w:p>
      <w:pPr>
        <w:pStyle w:val="12"/>
        <w:spacing w:line="360" w:lineRule="auto"/>
        <w:ind w:firstLine="480"/>
        <w:rPr>
          <w:rFonts w:hint="eastAsia" w:ascii="宋体" w:hAnsi="宋体" w:eastAsia="宋体" w:cs="宋体"/>
          <w:szCs w:val="24"/>
          <w:highlight w:val="none"/>
        </w:rPr>
      </w:pPr>
      <w:r>
        <w:rPr>
          <w:rFonts w:hint="eastAsia" w:ascii="宋体" w:hAnsi="宋体" w:eastAsia="宋体" w:cs="宋体"/>
          <w:color w:val="000000"/>
          <w:szCs w:val="24"/>
          <w:highlight w:val="none"/>
        </w:rPr>
        <w:t>4.为采购项目提供整</w:t>
      </w:r>
      <w:r>
        <w:rPr>
          <w:rFonts w:hint="eastAsia" w:ascii="宋体" w:hAnsi="宋体" w:eastAsia="宋体" w:cs="宋体"/>
          <w:szCs w:val="24"/>
          <w:highlight w:val="none"/>
        </w:rPr>
        <w:t>体设计、规范编制或者项目管理、监理、检测等服务的供应商，不得再参加该采购项目/包组的其他采购活动。</w:t>
      </w:r>
    </w:p>
    <w:p>
      <w:pPr>
        <w:pStyle w:val="12"/>
        <w:spacing w:line="360" w:lineRule="auto"/>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5.本项目不接受磋商联合体。</w:t>
      </w:r>
    </w:p>
    <w:p>
      <w:pPr>
        <w:spacing w:line="360" w:lineRule="auto"/>
        <w:rPr>
          <w:rFonts w:hint="eastAsia" w:ascii="宋体" w:hAnsi="宋体" w:eastAsia="宋体" w:cs="宋体"/>
          <w:szCs w:val="24"/>
          <w:highlight w:val="none"/>
        </w:rPr>
      </w:pPr>
    </w:p>
    <w:p>
      <w:pPr>
        <w:spacing w:line="360" w:lineRule="auto"/>
        <w:jc w:val="left"/>
        <w:rPr>
          <w:rFonts w:hint="eastAsia" w:ascii="宋体" w:hAnsi="宋体" w:eastAsia="宋体" w:cs="宋体"/>
          <w:szCs w:val="24"/>
          <w:highlight w:val="none"/>
        </w:rPr>
        <w:sectPr>
          <w:footerReference r:id="rId7" w:type="default"/>
          <w:pgSz w:w="11906" w:h="16838"/>
          <w:pgMar w:top="1440" w:right="1286" w:bottom="1440" w:left="1440" w:header="851" w:footer="992" w:gutter="0"/>
          <w:cols w:space="720" w:num="1"/>
          <w:docGrid w:type="lines" w:linePitch="312" w:charSpace="0"/>
        </w:sectPr>
      </w:pPr>
      <w:r>
        <w:rPr>
          <w:rFonts w:hint="eastAsia" w:ascii="宋体" w:hAnsi="宋体" w:eastAsia="宋体" w:cs="宋体"/>
          <w:szCs w:val="24"/>
          <w:highlight w:val="none"/>
        </w:rPr>
        <w:br w:type="textWrapping"/>
      </w:r>
    </w:p>
    <w:p>
      <w:pPr>
        <w:spacing w:line="360" w:lineRule="auto"/>
        <w:jc w:val="left"/>
        <w:rPr>
          <w:rFonts w:hint="eastAsia" w:ascii="宋体" w:hAnsi="宋体" w:eastAsia="宋体" w:cs="宋体"/>
          <w:szCs w:val="24"/>
          <w:highlight w:val="none"/>
        </w:rPr>
        <w:sectPr>
          <w:type w:val="continuous"/>
          <w:pgSz w:w="11906" w:h="16838"/>
          <w:pgMar w:top="1440" w:right="1286" w:bottom="1440" w:left="1440" w:header="851" w:footer="992" w:gutter="0"/>
          <w:cols w:space="720" w:num="1"/>
          <w:docGrid w:type="lines" w:linePitch="312" w:charSpace="0"/>
        </w:sectPr>
      </w:pPr>
      <w:r>
        <w:rPr>
          <w:rFonts w:hint="eastAsia" w:ascii="宋体" w:hAnsi="宋体" w:eastAsia="宋体" w:cs="宋体"/>
          <w:szCs w:val="24"/>
          <w:highlight w:val="none"/>
        </w:rPr>
        <w:br w:type="textWrapping"/>
      </w:r>
    </w:p>
    <w:p>
      <w:pPr>
        <w:numPr>
          <w:ilvl w:val="0"/>
          <w:numId w:val="2"/>
        </w:numPr>
        <w:snapToGrid w:val="0"/>
        <w:spacing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、采购项目技术要求</w:t>
      </w:r>
      <w:bookmarkEnd w:id="8"/>
      <w:bookmarkEnd w:id="9"/>
      <w:bookmarkEnd w:id="10"/>
    </w:p>
    <w:p>
      <w:pPr>
        <w:pStyle w:val="104"/>
        <w:numPr>
          <w:ilvl w:val="0"/>
          <w:numId w:val="3"/>
        </w:numPr>
        <w:tabs>
          <w:tab w:val="left" w:pos="312"/>
        </w:tabs>
        <w:spacing w:line="360" w:lineRule="auto"/>
        <w:rPr>
          <w:rFonts w:hint="eastAsia" w:ascii="宋体" w:hAnsi="宋体" w:cs="宋体"/>
          <w:b/>
          <w:sz w:val="24"/>
          <w:szCs w:val="24"/>
          <w:highlight w:val="none"/>
          <w:lang w:val="en-US" w:eastAsia="zh-CN"/>
        </w:rPr>
      </w:pPr>
      <w:bookmarkStart w:id="11" w:name="_Toc17235"/>
      <w:r>
        <w:rPr>
          <w:rFonts w:hint="eastAsia" w:ascii="宋体" w:hAnsi="宋体" w:cs="宋体"/>
          <w:b/>
          <w:sz w:val="24"/>
          <w:szCs w:val="24"/>
          <w:highlight w:val="none"/>
          <w:lang w:val="en-US" w:eastAsia="zh-CN"/>
        </w:rPr>
        <w:t>采购清单：</w:t>
      </w:r>
    </w:p>
    <w:tbl>
      <w:tblPr>
        <w:tblStyle w:val="44"/>
        <w:tblW w:w="7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3992"/>
        <w:gridCol w:w="108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blHeader/>
          <w:jc w:val="center"/>
        </w:trPr>
        <w:tc>
          <w:tcPr>
            <w:tcW w:w="956" w:type="dxa"/>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ascii="宋体" w:hAnsi="宋体" w:cs="宋体"/>
                <w:b/>
                <w:bCs/>
                <w:sz w:val="21"/>
                <w:szCs w:val="21"/>
              </w:rPr>
            </w:pPr>
            <w:r>
              <w:rPr>
                <w:rFonts w:hint="eastAsia" w:ascii="宋体" w:hAnsi="宋体" w:cs="宋体"/>
                <w:b/>
                <w:bCs/>
                <w:sz w:val="21"/>
                <w:szCs w:val="21"/>
              </w:rPr>
              <w:t>序号</w:t>
            </w:r>
          </w:p>
        </w:tc>
        <w:tc>
          <w:tcPr>
            <w:tcW w:w="3992" w:type="dxa"/>
            <w:tcBorders>
              <w:top w:val="single" w:color="auto" w:sz="4" w:space="0"/>
              <w:left w:val="single" w:color="auto" w:sz="4" w:space="0"/>
              <w:bottom w:val="single" w:color="auto" w:sz="4" w:space="0"/>
              <w:right w:val="single" w:color="auto" w:sz="4" w:space="0"/>
            </w:tcBorders>
            <w:vAlign w:val="center"/>
          </w:tcPr>
          <w:p>
            <w:pPr>
              <w:pStyle w:val="115"/>
              <w:spacing w:line="360" w:lineRule="auto"/>
              <w:jc w:val="center"/>
              <w:rPr>
                <w:rFonts w:ascii="宋体" w:hAnsi="宋体" w:cs="宋体"/>
                <w:b/>
                <w:bCs/>
                <w:sz w:val="21"/>
                <w:szCs w:val="21"/>
              </w:rPr>
            </w:pPr>
            <w:r>
              <w:rPr>
                <w:rFonts w:hint="eastAsia" w:ascii="宋体" w:hAnsi="宋体" w:cs="宋体"/>
                <w:b/>
                <w:bCs/>
                <w:sz w:val="21"/>
                <w:szCs w:val="21"/>
              </w:rPr>
              <w:t>采购名称</w:t>
            </w:r>
          </w:p>
        </w:tc>
        <w:tc>
          <w:tcPr>
            <w:tcW w:w="1089" w:type="dxa"/>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ascii="宋体" w:hAnsi="宋体" w:cs="宋体"/>
                <w:b/>
                <w:bCs/>
                <w:sz w:val="21"/>
                <w:szCs w:val="21"/>
              </w:rPr>
            </w:pPr>
            <w:r>
              <w:rPr>
                <w:rFonts w:hint="eastAsia" w:ascii="宋体" w:hAnsi="宋体" w:cs="宋体"/>
                <w:b/>
                <w:bCs/>
                <w:sz w:val="21"/>
                <w:szCs w:val="21"/>
              </w:rPr>
              <w:t>单位</w:t>
            </w:r>
          </w:p>
        </w:tc>
        <w:tc>
          <w:tcPr>
            <w:tcW w:w="1098" w:type="dxa"/>
            <w:tcBorders>
              <w:top w:val="single" w:color="auto" w:sz="4" w:space="0"/>
              <w:left w:val="single" w:color="auto" w:sz="4" w:space="0"/>
              <w:bottom w:val="single" w:color="auto" w:sz="4" w:space="0"/>
              <w:right w:val="single" w:color="auto" w:sz="4" w:space="0"/>
            </w:tcBorders>
            <w:vAlign w:val="center"/>
          </w:tcPr>
          <w:p>
            <w:pPr>
              <w:pStyle w:val="115"/>
              <w:spacing w:line="360" w:lineRule="auto"/>
              <w:jc w:val="center"/>
              <w:rPr>
                <w:rFonts w:hint="eastAsia" w:ascii="宋体" w:hAnsi="宋体" w:cs="宋体"/>
                <w:b/>
                <w:bCs/>
                <w:sz w:val="21"/>
                <w:szCs w:val="21"/>
              </w:rPr>
            </w:pPr>
            <w:r>
              <w:rPr>
                <w:rFonts w:hint="eastAsia" w:ascii="宋体" w:hAnsi="宋体" w:cs="宋体"/>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3992" w:type="dxa"/>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佛山市公安局森林分局2022年购买警务辅助服务项目（第二次）</w:t>
            </w:r>
          </w:p>
        </w:tc>
        <w:tc>
          <w:tcPr>
            <w:tcW w:w="1089" w:type="dxa"/>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ascii="宋体" w:hAnsi="宋体" w:cs="宋体"/>
                <w:color w:val="000000"/>
                <w:sz w:val="21"/>
                <w:szCs w:val="21"/>
              </w:rPr>
            </w:pPr>
            <w:r>
              <w:rPr>
                <w:rFonts w:hint="eastAsia" w:ascii="宋体" w:hAnsi="宋体" w:cs="宋体"/>
                <w:color w:val="000000"/>
                <w:sz w:val="21"/>
                <w:szCs w:val="21"/>
              </w:rPr>
              <w:t>1</w:t>
            </w:r>
          </w:p>
        </w:tc>
        <w:tc>
          <w:tcPr>
            <w:tcW w:w="1098" w:type="dxa"/>
            <w:tcBorders>
              <w:top w:val="single" w:color="auto" w:sz="4" w:space="0"/>
              <w:left w:val="single" w:color="auto" w:sz="4" w:space="0"/>
              <w:bottom w:val="single" w:color="auto" w:sz="4" w:space="0"/>
              <w:right w:val="single" w:color="auto" w:sz="4" w:space="0"/>
            </w:tcBorders>
            <w:vAlign w:val="center"/>
          </w:tcPr>
          <w:p>
            <w:pPr>
              <w:pStyle w:val="115"/>
              <w:spacing w:line="360" w:lineRule="auto"/>
              <w:jc w:val="center"/>
              <w:rPr>
                <w:rFonts w:ascii="宋体" w:hAnsi="宋体" w:cs="宋体"/>
                <w:color w:val="000000"/>
                <w:sz w:val="21"/>
                <w:szCs w:val="21"/>
              </w:rPr>
            </w:pPr>
            <w:r>
              <w:rPr>
                <w:rFonts w:hint="eastAsia" w:ascii="宋体" w:hAnsi="宋体" w:cs="宋体"/>
                <w:color w:val="000000"/>
                <w:sz w:val="21"/>
                <w:szCs w:val="21"/>
              </w:rPr>
              <w:t>项</w:t>
            </w:r>
          </w:p>
        </w:tc>
      </w:tr>
    </w:tbl>
    <w:p>
      <w:pPr>
        <w:pStyle w:val="46"/>
        <w:spacing w:line="360" w:lineRule="auto"/>
        <w:ind w:left="0" w:leftChars="0" w:firstLine="0" w:firstLineChars="0"/>
        <w:rPr>
          <w:rFonts w:hint="default"/>
          <w:highlight w:val="yellow"/>
          <w:lang w:val="en-US" w:eastAsia="zh-CN"/>
        </w:rPr>
      </w:pPr>
    </w:p>
    <w:p>
      <w:pPr>
        <w:pStyle w:val="104"/>
        <w:numPr>
          <w:ilvl w:val="0"/>
          <w:numId w:val="3"/>
        </w:numPr>
        <w:tabs>
          <w:tab w:val="left" w:pos="312"/>
        </w:tabs>
        <w:spacing w:line="360" w:lineRule="auto"/>
        <w:rPr>
          <w:rFonts w:hint="eastAsia" w:ascii="宋体" w:hAnsi="宋体" w:cs="宋体"/>
          <w:b/>
          <w:sz w:val="24"/>
          <w:szCs w:val="24"/>
          <w:highlight w:val="none"/>
        </w:rPr>
      </w:pPr>
      <w:r>
        <w:rPr>
          <w:rFonts w:hint="eastAsia" w:ascii="宋体" w:hAnsi="宋体" w:cs="宋体"/>
          <w:b/>
          <w:sz w:val="24"/>
          <w:szCs w:val="24"/>
          <w:highlight w:val="none"/>
        </w:rPr>
        <w:t>服务范围：</w:t>
      </w:r>
    </w:p>
    <w:p>
      <w:pPr>
        <w:spacing w:line="360" w:lineRule="auto"/>
        <w:ind w:firstLine="480" w:firstLineChars="200"/>
        <w:rPr>
          <w:rFonts w:hint="eastAsia"/>
          <w:highlight w:val="none"/>
          <w:lang w:val="en-US" w:eastAsia="zh-CN"/>
        </w:rPr>
      </w:pPr>
      <w:r>
        <w:rPr>
          <w:rFonts w:hint="eastAsia"/>
          <w:highlight w:val="none"/>
          <w:lang w:val="en-US" w:eastAsia="zh-CN"/>
        </w:rPr>
        <w:t>协助采购人开展文秘会务、后勤保障、宣传等辅助性工作。</w:t>
      </w:r>
    </w:p>
    <w:p>
      <w:pPr>
        <w:pStyle w:val="104"/>
        <w:numPr>
          <w:ilvl w:val="0"/>
          <w:numId w:val="3"/>
        </w:numPr>
        <w:tabs>
          <w:tab w:val="left" w:pos="312"/>
        </w:tabs>
        <w:spacing w:line="360" w:lineRule="auto"/>
        <w:rPr>
          <w:rFonts w:hint="eastAsia" w:ascii="宋体" w:hAnsi="宋体" w:cs="宋体"/>
          <w:b/>
          <w:sz w:val="24"/>
          <w:szCs w:val="24"/>
          <w:highlight w:val="none"/>
        </w:rPr>
      </w:pPr>
      <w:r>
        <w:rPr>
          <w:rFonts w:hint="eastAsia" w:ascii="宋体" w:hAnsi="宋体" w:cs="宋体"/>
          <w:b/>
          <w:sz w:val="24"/>
          <w:szCs w:val="24"/>
          <w:highlight w:val="none"/>
        </w:rPr>
        <w:t xml:space="preserve">服务内容及详细要求： </w:t>
      </w:r>
    </w:p>
    <w:tbl>
      <w:tblPr>
        <w:tblStyle w:val="44"/>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946"/>
        <w:gridCol w:w="946"/>
        <w:gridCol w:w="946"/>
        <w:gridCol w:w="949"/>
        <w:gridCol w:w="90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892"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服务岗位</w:t>
            </w:r>
          </w:p>
        </w:tc>
        <w:tc>
          <w:tcPr>
            <w:tcW w:w="3787" w:type="dxa"/>
            <w:gridSpan w:val="4"/>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条件要求</w:t>
            </w:r>
          </w:p>
        </w:tc>
        <w:tc>
          <w:tcPr>
            <w:tcW w:w="90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人数</w:t>
            </w:r>
          </w:p>
        </w:tc>
        <w:tc>
          <w:tcPr>
            <w:tcW w:w="423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892"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性别</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年龄</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学历</w:t>
            </w:r>
          </w:p>
        </w:tc>
        <w:tc>
          <w:tcPr>
            <w:tcW w:w="949"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专业</w:t>
            </w:r>
          </w:p>
        </w:tc>
        <w:tc>
          <w:tcPr>
            <w:tcW w:w="90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423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1</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中文、法学类优先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pStyle w:val="64"/>
              <w:spacing w:line="360" w:lineRule="auto"/>
              <w:jc w:val="both"/>
              <w:rPr>
                <w:rFonts w:hint="eastAsia" w:ascii="宋体" w:hAnsi="宋体" w:eastAsia="宋体" w:cs="宋体"/>
                <w:spacing w:val="0"/>
                <w:kern w:val="2"/>
                <w:sz w:val="21"/>
                <w:szCs w:val="21"/>
                <w:highlight w:val="none"/>
              </w:rPr>
            </w:pPr>
            <w:r>
              <w:rPr>
                <w:rFonts w:hint="eastAsia" w:ascii="宋体" w:hAnsi="宋体" w:eastAsia="宋体" w:cs="宋体"/>
                <w:spacing w:val="0"/>
                <w:kern w:val="2"/>
                <w:sz w:val="21"/>
                <w:szCs w:val="21"/>
                <w:highlight w:val="none"/>
                <w:lang w:val="en-US" w:eastAsia="zh-CN" w:bidi="ar-SA"/>
              </w:rPr>
              <w:t>具备中国国籍，拥护党的领导和国家宪法，具备正常履职身体条件，无犯罪记录，签订保密协议。适应森林公安运作工作模式，沟通表达能力强，具备一定法律知识，熟练操作计算机，需服从分配。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2</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具备中国国籍，拥护党的领导和国家宪法，具备正常履职身体条件，无犯罪记录，签订保密协议。适应森林公安运作工作模式，具有一定管理能力，熟练操作计算机，需服从分配。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3</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具备中国国籍，拥护党的领导和国家宪法，具备正常履职身体条件，无犯罪记录，签订保密协议。适应森林公安运作工作模式，具有一定文字表达能力，能基本操作计算机，需服从分配。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4</w:t>
            </w:r>
          </w:p>
        </w:tc>
        <w:tc>
          <w:tcPr>
            <w:tcW w:w="946"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男</w:t>
            </w:r>
            <w:r>
              <w:rPr>
                <w:rFonts w:hint="eastAsia" w:ascii="宋体" w:hAnsi="宋体" w:cs="宋体"/>
                <w:sz w:val="21"/>
                <w:szCs w:val="21"/>
                <w:highlight w:val="none"/>
                <w:lang w:val="en-US" w:eastAsia="zh-CN"/>
              </w:rPr>
              <w:t>/女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具备中国国籍，拥护党的领导和国家宪法，具备正常履职身体条件，无犯罪记录，签订保密协议。适应森林公安运作工作模式，执行力强，能基本操作计算机，需服从分配。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5</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eastAsia="zh-CN"/>
              </w:rPr>
              <w:t>财务类、</w:t>
            </w:r>
            <w:r>
              <w:rPr>
                <w:rFonts w:hint="eastAsia" w:ascii="宋体" w:hAnsi="宋体" w:eastAsia="宋体" w:cs="宋体"/>
                <w:sz w:val="21"/>
                <w:szCs w:val="21"/>
                <w:highlight w:val="none"/>
              </w:rPr>
              <w:t>会计类</w:t>
            </w:r>
            <w:r>
              <w:rPr>
                <w:rFonts w:hint="eastAsia" w:ascii="宋体" w:hAnsi="宋体" w:cs="宋体"/>
                <w:sz w:val="21"/>
                <w:szCs w:val="21"/>
                <w:highlight w:val="none"/>
                <w:lang w:eastAsia="zh-CN"/>
              </w:rPr>
              <w:t>专业</w:t>
            </w:r>
            <w:r>
              <w:rPr>
                <w:rFonts w:hint="eastAsia" w:ascii="宋体" w:hAnsi="宋体" w:eastAsia="宋体" w:cs="宋体"/>
                <w:sz w:val="21"/>
                <w:szCs w:val="21"/>
                <w:highlight w:val="none"/>
              </w:rPr>
              <w:t>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不少于2人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具备中国国籍，拥护党的领导和国家宪法，具备正常履职身体条件，无犯罪记录，签订保密协议。适应森林公安运作工作模式，具有一定会计专业能力，能基本操作计算机，需服从分配。</w:t>
            </w:r>
          </w:p>
        </w:tc>
      </w:tr>
    </w:tbl>
    <w:p>
      <w:pPr>
        <w:pStyle w:val="46"/>
        <w:spacing w:line="360" w:lineRule="auto"/>
        <w:ind w:left="0" w:leftChars="0" w:firstLine="0" w:firstLineChars="0"/>
        <w:rPr>
          <w:rFonts w:hint="default"/>
          <w:highlight w:val="yellow"/>
          <w:lang w:val="en-US" w:eastAsia="zh-CN"/>
        </w:rPr>
      </w:pPr>
    </w:p>
    <w:p>
      <w:pPr>
        <w:pStyle w:val="104"/>
        <w:numPr>
          <w:ilvl w:val="0"/>
          <w:numId w:val="3"/>
        </w:numPr>
        <w:tabs>
          <w:tab w:val="left" w:pos="312"/>
        </w:tabs>
        <w:spacing w:line="360" w:lineRule="auto"/>
        <w:rPr>
          <w:rFonts w:hint="default" w:ascii="宋体" w:hAnsi="宋体" w:eastAsia="宋体" w:cs="宋体"/>
          <w:szCs w:val="24"/>
          <w:highlight w:val="none"/>
          <w:lang w:val="en-US" w:eastAsia="zh-CN"/>
        </w:rPr>
      </w:pPr>
      <w:r>
        <w:rPr>
          <w:rFonts w:hint="eastAsia" w:ascii="宋体" w:hAnsi="宋体" w:cs="宋体"/>
          <w:b/>
          <w:sz w:val="24"/>
          <w:szCs w:val="24"/>
          <w:highlight w:val="none"/>
        </w:rPr>
        <w:t>服务</w:t>
      </w:r>
      <w:r>
        <w:rPr>
          <w:rFonts w:hint="eastAsia" w:ascii="宋体" w:hAnsi="宋体" w:cs="宋体"/>
          <w:b/>
          <w:sz w:val="24"/>
          <w:szCs w:val="24"/>
          <w:highlight w:val="none"/>
          <w:lang w:eastAsia="zh-CN"/>
        </w:rPr>
        <w:t>要求</w:t>
      </w:r>
      <w:r>
        <w:rPr>
          <w:rFonts w:hint="eastAsia" w:ascii="宋体" w:hAnsi="宋体" w:cs="宋体"/>
          <w:b/>
          <w:sz w:val="24"/>
          <w:szCs w:val="24"/>
          <w:highlight w:val="none"/>
        </w:rPr>
        <w:t>：</w:t>
      </w:r>
    </w:p>
    <w:p>
      <w:pPr>
        <w:spacing w:line="360" w:lineRule="auto"/>
        <w:jc w:val="left"/>
        <w:rPr>
          <w:rFonts w:ascii="宋体" w:hAnsi="宋体" w:cs="宋体"/>
          <w:szCs w:val="24"/>
          <w:highlight w:val="none"/>
        </w:rPr>
      </w:pPr>
      <w:r>
        <w:rPr>
          <w:rFonts w:hint="eastAsia" w:ascii="宋体" w:hAnsi="宋体" w:cs="宋体"/>
          <w:szCs w:val="24"/>
          <w:highlight w:val="none"/>
        </w:rPr>
        <w:t>（一）工作时间：</w:t>
      </w:r>
      <w:r>
        <w:rPr>
          <w:rFonts w:hint="eastAsia" w:ascii="宋体" w:hAnsi="宋体" w:cs="宋体"/>
          <w:szCs w:val="24"/>
          <w:highlight w:val="none"/>
          <w:lang w:eastAsia="zh-CN"/>
        </w:rPr>
        <w:t>按采购人排班顺序，每天应有</w:t>
      </w:r>
      <w:r>
        <w:rPr>
          <w:rFonts w:hint="eastAsia" w:ascii="宋体" w:hAnsi="宋体" w:cs="宋体"/>
          <w:szCs w:val="24"/>
          <w:highlight w:val="none"/>
          <w:lang w:val="en-US" w:eastAsia="zh-CN"/>
        </w:rPr>
        <w:t>1名人员24小时值班，其余人员按照（周一至周五）8小时正常上班制度；特殊情况下（如遇节假日、重大会议期间、重要时间节点等）或因工作需要</w:t>
      </w:r>
      <w:r>
        <w:rPr>
          <w:rFonts w:hint="eastAsia" w:ascii="宋体" w:hAnsi="宋体"/>
          <w:highlight w:val="none"/>
        </w:rPr>
        <w:t>，具体上班时间以采购人分配为准</w:t>
      </w:r>
      <w:r>
        <w:rPr>
          <w:rFonts w:hint="eastAsia" w:ascii="宋体" w:hAnsi="宋体" w:cs="宋体"/>
          <w:szCs w:val="24"/>
          <w:highlight w:val="none"/>
        </w:rPr>
        <w:t>。</w:t>
      </w:r>
    </w:p>
    <w:p>
      <w:pPr>
        <w:spacing w:line="360" w:lineRule="auto"/>
        <w:rPr>
          <w:rFonts w:hint="default"/>
          <w:highlight w:val="none"/>
          <w:lang w:val="en-US" w:eastAsia="zh-CN"/>
        </w:rPr>
      </w:pPr>
      <w:r>
        <w:rPr>
          <w:rFonts w:hint="eastAsia" w:ascii="宋体" w:hAnsi="宋体" w:cs="宋体"/>
          <w:szCs w:val="24"/>
          <w:highlight w:val="none"/>
        </w:rPr>
        <w:t>（二）服务地点：佛山市公安局</w:t>
      </w:r>
      <w:r>
        <w:rPr>
          <w:rFonts w:hint="eastAsia" w:ascii="宋体" w:hAnsi="宋体" w:cs="宋体"/>
          <w:szCs w:val="24"/>
          <w:highlight w:val="none"/>
          <w:lang w:eastAsia="zh-CN"/>
        </w:rPr>
        <w:t>森林分局</w:t>
      </w:r>
      <w:r>
        <w:rPr>
          <w:rFonts w:hint="eastAsia" w:ascii="宋体" w:hAnsi="宋体" w:cs="宋体"/>
          <w:szCs w:val="24"/>
          <w:highlight w:val="none"/>
        </w:rPr>
        <w:t>；地址：佛山市禅城区</w:t>
      </w:r>
      <w:r>
        <w:rPr>
          <w:rFonts w:hint="eastAsia" w:ascii="宋体" w:hAnsi="宋体" w:cs="宋体"/>
          <w:szCs w:val="24"/>
          <w:highlight w:val="none"/>
          <w:lang w:eastAsia="zh-CN"/>
        </w:rPr>
        <w:t>金鱼街</w:t>
      </w:r>
      <w:r>
        <w:rPr>
          <w:rFonts w:hint="eastAsia" w:ascii="宋体" w:hAnsi="宋体" w:cs="宋体"/>
          <w:szCs w:val="24"/>
          <w:highlight w:val="none"/>
          <w:lang w:val="en-US" w:eastAsia="zh-CN"/>
        </w:rPr>
        <w:t>113号（佛山市水利局大院内）</w:t>
      </w:r>
      <w:r>
        <w:rPr>
          <w:rFonts w:hint="eastAsia" w:ascii="宋体" w:hAnsi="宋体" w:cs="宋体"/>
          <w:szCs w:val="24"/>
          <w:highlight w:val="none"/>
        </w:rPr>
        <w:t>。</w:t>
      </w:r>
    </w:p>
    <w:p>
      <w:pPr>
        <w:pStyle w:val="104"/>
        <w:numPr>
          <w:ilvl w:val="0"/>
          <w:numId w:val="3"/>
        </w:numPr>
        <w:tabs>
          <w:tab w:val="left" w:pos="312"/>
        </w:tabs>
        <w:spacing w:line="360" w:lineRule="auto"/>
        <w:rPr>
          <w:rFonts w:hint="eastAsia" w:ascii="宋体" w:hAnsi="宋体" w:eastAsia="宋体" w:cs="宋体"/>
          <w:b/>
          <w:sz w:val="24"/>
          <w:szCs w:val="24"/>
          <w:highlight w:val="none"/>
        </w:rPr>
      </w:pPr>
      <w:r>
        <w:rPr>
          <w:rFonts w:hint="eastAsia" w:ascii="宋体" w:hAnsi="宋体" w:cs="宋体"/>
          <w:b/>
          <w:sz w:val="24"/>
          <w:szCs w:val="24"/>
          <w:highlight w:val="none"/>
          <w:lang w:eastAsia="zh-CN"/>
        </w:rPr>
        <w:t>工作纪律</w:t>
      </w:r>
      <w:r>
        <w:rPr>
          <w:rFonts w:hint="eastAsia" w:ascii="宋体" w:hAnsi="宋体" w:cs="宋体"/>
          <w:b/>
          <w:sz w:val="24"/>
          <w:szCs w:val="24"/>
          <w:highlight w:val="none"/>
        </w:rPr>
        <w:t>：</w:t>
      </w:r>
    </w:p>
    <w:p>
      <w:pPr>
        <w:spacing w:line="360" w:lineRule="auto"/>
        <w:rPr>
          <w:rFonts w:ascii="宋体" w:hAnsi="宋体" w:cs="宋体"/>
          <w:szCs w:val="24"/>
          <w:highlight w:val="none"/>
        </w:rPr>
      </w:pPr>
      <w:r>
        <w:rPr>
          <w:rFonts w:hint="eastAsia" w:ascii="宋体" w:hAnsi="宋体" w:cs="宋体"/>
          <w:szCs w:val="24"/>
          <w:highlight w:val="none"/>
        </w:rPr>
        <w:t>（一）保密纪律：应遵守公安保密纪律，不得报送、传播虚假信息，未经批准不得以任何借口泄露采购人的内部信息。</w:t>
      </w:r>
    </w:p>
    <w:p>
      <w:pPr>
        <w:spacing w:line="360" w:lineRule="auto"/>
        <w:rPr>
          <w:rFonts w:ascii="宋体" w:hAnsi="宋体" w:cs="宋体"/>
          <w:szCs w:val="24"/>
          <w:highlight w:val="none"/>
        </w:rPr>
      </w:pPr>
      <w:r>
        <w:rPr>
          <w:rFonts w:hint="eastAsia" w:ascii="宋体" w:hAnsi="宋体" w:cs="宋体"/>
          <w:szCs w:val="24"/>
          <w:highlight w:val="none"/>
        </w:rPr>
        <w:t>（二）交接班纪律：应按时到岗交接班，成交供应商对岗位人员进行纪律考勤，如遇接班人员未到岗，应及时上报管理部门，并继续执勤至接班人员到岗，不得出现空岗。</w:t>
      </w:r>
    </w:p>
    <w:p>
      <w:pPr>
        <w:spacing w:line="360" w:lineRule="auto"/>
        <w:rPr>
          <w:rFonts w:ascii="宋体" w:hAnsi="宋体" w:cs="宋体"/>
          <w:szCs w:val="24"/>
          <w:highlight w:val="none"/>
        </w:rPr>
      </w:pPr>
      <w:r>
        <w:rPr>
          <w:rFonts w:hint="eastAsia" w:ascii="宋体" w:hAnsi="宋体" w:cs="宋体"/>
          <w:szCs w:val="24"/>
          <w:highlight w:val="none"/>
        </w:rPr>
        <w:t>（三）岗位纪律：遵守国家法律及公安内部纪律、规定，以及岗位规章制度。</w:t>
      </w:r>
    </w:p>
    <w:p>
      <w:pPr>
        <w:spacing w:line="360" w:lineRule="auto"/>
        <w:rPr>
          <w:rFonts w:ascii="宋体" w:hAnsi="宋体" w:cs="宋体"/>
          <w:szCs w:val="24"/>
          <w:highlight w:val="none"/>
        </w:rPr>
      </w:pPr>
      <w:r>
        <w:rPr>
          <w:rFonts w:hint="eastAsia" w:ascii="宋体" w:hAnsi="宋体" w:cs="宋体"/>
          <w:szCs w:val="24"/>
          <w:highlight w:val="none"/>
        </w:rPr>
        <w:t>（四）工作期间，服从领导、听从指挥，不得无故脱岗，严禁从事与工作无关的活动。因病、因事请假，应提前向所在管理部门领导请假。</w:t>
      </w:r>
    </w:p>
    <w:p>
      <w:pPr>
        <w:spacing w:line="360" w:lineRule="auto"/>
        <w:rPr>
          <w:rFonts w:ascii="宋体" w:hAnsi="宋体" w:cs="宋体"/>
          <w:szCs w:val="24"/>
          <w:highlight w:val="none"/>
        </w:rPr>
      </w:pPr>
      <w:r>
        <w:rPr>
          <w:rFonts w:hint="eastAsia" w:ascii="宋体" w:hAnsi="宋体" w:cs="宋体"/>
          <w:szCs w:val="24"/>
          <w:highlight w:val="none"/>
        </w:rPr>
        <w:t>（五）工作相关的其他纪律规定。</w:t>
      </w:r>
    </w:p>
    <w:p>
      <w:pPr>
        <w:pStyle w:val="104"/>
        <w:numPr>
          <w:ilvl w:val="0"/>
          <w:numId w:val="3"/>
        </w:numPr>
        <w:tabs>
          <w:tab w:val="left" w:pos="312"/>
        </w:tabs>
        <w:spacing w:line="360" w:lineRule="auto"/>
        <w:rPr>
          <w:rFonts w:hint="eastAsia" w:ascii="宋体" w:hAnsi="宋体" w:eastAsia="宋体" w:cs="宋体"/>
          <w:b/>
          <w:sz w:val="24"/>
          <w:szCs w:val="24"/>
          <w:highlight w:val="none"/>
        </w:rPr>
      </w:pPr>
      <w:r>
        <w:rPr>
          <w:rFonts w:hint="eastAsia" w:ascii="宋体" w:hAnsi="宋体" w:cs="宋体"/>
          <w:b/>
          <w:sz w:val="24"/>
          <w:szCs w:val="24"/>
          <w:highlight w:val="none"/>
          <w:lang w:eastAsia="zh-CN"/>
        </w:rPr>
        <w:t>监督考核</w:t>
      </w:r>
      <w:r>
        <w:rPr>
          <w:rFonts w:hint="eastAsia" w:ascii="宋体" w:hAnsi="宋体" w:cs="宋体"/>
          <w:b/>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（一）为保障服务质量，提高工作效率，维持良好的内部秩序和外部形象，采购人成立监督考核小组，由采购人每季度对成交供应商服务质量进行考核评分，评分内容包括：岗位配备（20分），人员配备质量（50 分），服务态度（10分），服务管理（20 分）</w:t>
      </w:r>
      <w:r>
        <w:rPr>
          <w:rFonts w:hint="eastAsia" w:ascii="宋体" w:hAnsi="宋体" w:cs="宋体"/>
          <w:sz w:val="24"/>
          <w:szCs w:val="24"/>
          <w:highlight w:val="none"/>
          <w:lang w:eastAsia="zh-CN"/>
        </w:rPr>
        <w:t>，服务期内，采购人有权根据实际情况对本考核办法进行修改与补充</w:t>
      </w:r>
      <w:r>
        <w:rPr>
          <w:rFonts w:hint="eastAsia" w:ascii="宋体" w:hAnsi="宋体" w:cs="宋体"/>
          <w:sz w:val="24"/>
          <w:szCs w:val="24"/>
          <w:highlight w:val="none"/>
        </w:rPr>
        <w:t>。</w:t>
      </w:r>
    </w:p>
    <w:p>
      <w:pPr>
        <w:pStyle w:val="104"/>
        <w:widowControl w:val="0"/>
        <w:numPr>
          <w:ilvl w:val="0"/>
          <w:numId w:val="0"/>
        </w:numPr>
        <w:tabs>
          <w:tab w:val="left" w:pos="510"/>
        </w:tabs>
        <w:spacing w:line="360" w:lineRule="auto"/>
        <w:ind w:firstLine="480" w:firstLineChars="200"/>
        <w:jc w:val="both"/>
        <w:rPr>
          <w:rFonts w:hint="eastAsia" w:ascii="宋体" w:hAnsi="宋体" w:cs="宋体"/>
          <w:szCs w:val="24"/>
        </w:rPr>
      </w:pPr>
      <w:r>
        <w:rPr>
          <w:rFonts w:hint="eastAsia" w:ascii="宋体" w:hAnsi="宋体" w:cs="宋体"/>
          <w:sz w:val="24"/>
          <w:szCs w:val="24"/>
          <w:highlight w:val="none"/>
        </w:rPr>
        <w:t>（二）考核评分结果分为四档，分值保留整数。其中A满意（90分及以上）、B良好（80分-89分）、C合格（60分-80分）、D不合格（59分及以下），A档支付100%服务费、B档支付90%服务费、C档支付80%服务费、D档支付70%服务费，同时成交供应商须立即进行服务全面整改提升。</w:t>
      </w:r>
    </w:p>
    <w:p>
      <w:pPr>
        <w:spacing w:line="560" w:lineRule="exact"/>
        <w:rPr>
          <w:rFonts w:ascii="宋体" w:hAnsi="宋体" w:cs="宋体"/>
          <w:szCs w:val="24"/>
        </w:rPr>
      </w:pPr>
      <w:r>
        <w:rPr>
          <w:rFonts w:hint="eastAsia" w:ascii="宋体" w:hAnsi="宋体" w:cs="宋体"/>
          <w:szCs w:val="24"/>
        </w:rPr>
        <w:t>附件：</w:t>
      </w:r>
    </w:p>
    <w:p>
      <w:pPr>
        <w:spacing w:line="560" w:lineRule="exact"/>
        <w:jc w:val="center"/>
        <w:rPr>
          <w:rFonts w:ascii="宋体" w:hAnsi="宋体" w:cs="宋体"/>
          <w:b/>
          <w:szCs w:val="24"/>
        </w:rPr>
      </w:pPr>
      <w:r>
        <w:rPr>
          <w:rFonts w:hint="eastAsia" w:ascii="宋体" w:hAnsi="宋体" w:cs="宋体"/>
          <w:b/>
          <w:szCs w:val="24"/>
        </w:rPr>
        <w:t>202</w:t>
      </w:r>
      <w:r>
        <w:rPr>
          <w:rFonts w:hint="eastAsia" w:ascii="宋体" w:hAnsi="宋体" w:cs="宋体"/>
          <w:b/>
          <w:szCs w:val="24"/>
          <w:lang w:val="en-US" w:eastAsia="zh-CN"/>
        </w:rPr>
        <w:t>2</w:t>
      </w:r>
      <w:r>
        <w:rPr>
          <w:rFonts w:hint="eastAsia" w:ascii="宋体" w:hAnsi="宋体" w:cs="宋体"/>
          <w:b/>
          <w:szCs w:val="24"/>
        </w:rPr>
        <w:t>年第  季度购买服务评分表</w:t>
      </w:r>
    </w:p>
    <w:tbl>
      <w:tblPr>
        <w:tblStyle w:val="44"/>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2"/>
        <w:gridCol w:w="4616"/>
        <w:gridCol w:w="947"/>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评分内容</w:t>
            </w:r>
          </w:p>
        </w:tc>
        <w:tc>
          <w:tcPr>
            <w:tcW w:w="992" w:type="dxa"/>
          </w:tcPr>
          <w:p>
            <w:pPr>
              <w:spacing w:line="560" w:lineRule="exact"/>
              <w:jc w:val="center"/>
              <w:rPr>
                <w:rFonts w:ascii="宋体" w:hAnsi="宋体" w:cs="宋体"/>
                <w:szCs w:val="24"/>
              </w:rPr>
            </w:pPr>
            <w:r>
              <w:rPr>
                <w:rFonts w:hint="eastAsia" w:ascii="宋体" w:hAnsi="宋体" w:cs="宋体"/>
                <w:szCs w:val="24"/>
              </w:rPr>
              <w:t>序号</w:t>
            </w:r>
          </w:p>
        </w:tc>
        <w:tc>
          <w:tcPr>
            <w:tcW w:w="4616" w:type="dxa"/>
          </w:tcPr>
          <w:p>
            <w:pPr>
              <w:spacing w:line="560" w:lineRule="exact"/>
              <w:jc w:val="center"/>
              <w:rPr>
                <w:rFonts w:ascii="宋体" w:hAnsi="宋体" w:cs="宋体"/>
                <w:szCs w:val="24"/>
              </w:rPr>
            </w:pPr>
            <w:r>
              <w:rPr>
                <w:rFonts w:hint="eastAsia" w:ascii="宋体" w:hAnsi="宋体" w:cs="宋体"/>
                <w:szCs w:val="24"/>
              </w:rPr>
              <w:t>评分内容</w:t>
            </w:r>
          </w:p>
        </w:tc>
        <w:tc>
          <w:tcPr>
            <w:tcW w:w="947" w:type="dxa"/>
          </w:tcPr>
          <w:p>
            <w:pPr>
              <w:spacing w:line="560" w:lineRule="exact"/>
              <w:jc w:val="center"/>
              <w:rPr>
                <w:rFonts w:ascii="宋体" w:hAnsi="宋体" w:cs="宋体"/>
                <w:szCs w:val="24"/>
              </w:rPr>
            </w:pPr>
            <w:r>
              <w:rPr>
                <w:rFonts w:hint="eastAsia" w:ascii="宋体" w:hAnsi="宋体" w:cs="宋体"/>
                <w:szCs w:val="24"/>
              </w:rPr>
              <w:t>分值</w:t>
            </w:r>
          </w:p>
        </w:tc>
        <w:tc>
          <w:tcPr>
            <w:tcW w:w="837" w:type="dxa"/>
          </w:tcPr>
          <w:p>
            <w:pPr>
              <w:spacing w:line="560" w:lineRule="exact"/>
              <w:jc w:val="center"/>
              <w:rPr>
                <w:rFonts w:ascii="宋体" w:hAnsi="宋体" w:cs="宋体"/>
                <w:szCs w:val="24"/>
              </w:rPr>
            </w:pPr>
            <w:r>
              <w:rPr>
                <w:rFonts w:hint="eastAsia" w:ascii="宋体" w:hAnsi="宋体" w:cs="宋体"/>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岗位配备</w:t>
            </w:r>
          </w:p>
        </w:tc>
        <w:tc>
          <w:tcPr>
            <w:tcW w:w="992" w:type="dxa"/>
          </w:tcPr>
          <w:p>
            <w:pPr>
              <w:spacing w:line="560" w:lineRule="exact"/>
              <w:jc w:val="center"/>
              <w:rPr>
                <w:rFonts w:ascii="宋体" w:hAnsi="宋体" w:cs="宋体"/>
                <w:szCs w:val="24"/>
              </w:rPr>
            </w:pPr>
            <w:r>
              <w:rPr>
                <w:rFonts w:hint="eastAsia" w:ascii="宋体" w:hAnsi="宋体" w:cs="宋体"/>
                <w:szCs w:val="24"/>
              </w:rPr>
              <w:t>1</w:t>
            </w:r>
          </w:p>
        </w:tc>
        <w:tc>
          <w:tcPr>
            <w:tcW w:w="4616" w:type="dxa"/>
          </w:tcPr>
          <w:p>
            <w:pPr>
              <w:spacing w:line="420" w:lineRule="exact"/>
              <w:jc w:val="left"/>
              <w:rPr>
                <w:rFonts w:ascii="宋体" w:hAnsi="宋体" w:cs="宋体"/>
                <w:szCs w:val="24"/>
              </w:rPr>
            </w:pPr>
            <w:r>
              <w:rPr>
                <w:rFonts w:hint="eastAsia" w:ascii="宋体" w:hAnsi="宋体" w:cs="宋体"/>
                <w:szCs w:val="24"/>
              </w:rPr>
              <w:t>岗位配备充足、及时，能够根据要求迅速调配人力。</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tcPr>
          <w:p>
            <w:pPr>
              <w:spacing w:line="560" w:lineRule="exact"/>
              <w:jc w:val="center"/>
              <w:rPr>
                <w:rFonts w:ascii="宋体" w:hAnsi="宋体" w:cs="宋体"/>
                <w:szCs w:val="24"/>
              </w:rPr>
            </w:pPr>
            <w:r>
              <w:rPr>
                <w:rFonts w:hint="eastAsia" w:ascii="宋体" w:hAnsi="宋体" w:cs="宋体"/>
                <w:szCs w:val="24"/>
              </w:rPr>
              <w:t>2</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配备岗位人员稳定，离职、更换频率低。</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人员配备质量</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3</w:t>
            </w:r>
          </w:p>
        </w:tc>
        <w:tc>
          <w:tcPr>
            <w:tcW w:w="4616" w:type="dxa"/>
          </w:tcPr>
          <w:p>
            <w:pPr>
              <w:spacing w:line="420" w:lineRule="exact"/>
              <w:jc w:val="left"/>
              <w:rPr>
                <w:rFonts w:ascii="宋体" w:hAnsi="宋体" w:cs="宋体"/>
                <w:szCs w:val="24"/>
              </w:rPr>
            </w:pPr>
            <w:r>
              <w:rPr>
                <w:rFonts w:hint="eastAsia" w:ascii="宋体" w:hAnsi="宋体" w:cs="宋体"/>
                <w:szCs w:val="24"/>
              </w:rPr>
              <w:t>配备人员业务能力强，业务考核均能达标，能够胜任岗位工作要求。</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4</w:t>
            </w:r>
          </w:p>
        </w:tc>
        <w:tc>
          <w:tcPr>
            <w:tcW w:w="4616" w:type="dxa"/>
          </w:tcPr>
          <w:p>
            <w:pPr>
              <w:spacing w:line="420" w:lineRule="exact"/>
              <w:jc w:val="left"/>
              <w:rPr>
                <w:rFonts w:ascii="宋体" w:hAnsi="宋体" w:cs="宋体"/>
                <w:szCs w:val="24"/>
              </w:rPr>
            </w:pPr>
            <w:r>
              <w:rPr>
                <w:rFonts w:hint="eastAsia" w:ascii="宋体" w:hAnsi="宋体" w:cs="宋体"/>
                <w:szCs w:val="24"/>
              </w:rPr>
              <w:t>配备人员保密意识强，能够遵守保密协议。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5</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配备岗位人员责任心强，工作任务完成好，无差错漏现象。</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6</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配备岗位人员能够服从管理，执行力强。</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7</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配备岗位人员遵纪守法，无不良嗜好。</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Align w:val="center"/>
          </w:tcPr>
          <w:p>
            <w:pPr>
              <w:spacing w:line="560" w:lineRule="exact"/>
              <w:jc w:val="center"/>
              <w:rPr>
                <w:rFonts w:ascii="宋体" w:hAnsi="宋体" w:cs="宋体"/>
                <w:szCs w:val="24"/>
              </w:rPr>
            </w:pPr>
            <w:r>
              <w:rPr>
                <w:rFonts w:hint="eastAsia" w:ascii="宋体" w:hAnsi="宋体" w:cs="宋体"/>
                <w:szCs w:val="24"/>
              </w:rPr>
              <w:t>服务态度</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8</w:t>
            </w:r>
          </w:p>
        </w:tc>
        <w:tc>
          <w:tcPr>
            <w:tcW w:w="4616" w:type="dxa"/>
          </w:tcPr>
          <w:p>
            <w:pPr>
              <w:spacing w:line="420" w:lineRule="exact"/>
              <w:jc w:val="left"/>
              <w:rPr>
                <w:rFonts w:ascii="宋体" w:hAnsi="宋体" w:cs="宋体"/>
                <w:szCs w:val="24"/>
              </w:rPr>
            </w:pPr>
            <w:r>
              <w:rPr>
                <w:rFonts w:hint="eastAsia" w:ascii="宋体" w:hAnsi="宋体" w:cs="宋体"/>
                <w:szCs w:val="24"/>
              </w:rPr>
              <w:t>岗位人员服务态度好，合作意识强，能够配合团队开展工作</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服务管理</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9</w:t>
            </w:r>
          </w:p>
        </w:tc>
        <w:tc>
          <w:tcPr>
            <w:tcW w:w="4616" w:type="dxa"/>
          </w:tcPr>
          <w:p>
            <w:pPr>
              <w:spacing w:line="420" w:lineRule="exact"/>
              <w:jc w:val="left"/>
              <w:rPr>
                <w:rFonts w:ascii="宋体" w:hAnsi="宋体" w:cs="宋体"/>
                <w:szCs w:val="24"/>
              </w:rPr>
            </w:pPr>
            <w:r>
              <w:rPr>
                <w:rFonts w:hint="eastAsia" w:ascii="宋体" w:hAnsi="宋体" w:cs="宋体"/>
                <w:szCs w:val="24"/>
              </w:rPr>
              <w:t>依法按照投标方案要求为岗位人员签订劳动合同、购买社保，薪资发放及时准确。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4616" w:type="dxa"/>
          </w:tcPr>
          <w:p>
            <w:pPr>
              <w:spacing w:line="420" w:lineRule="exact"/>
              <w:jc w:val="left"/>
              <w:rPr>
                <w:rFonts w:ascii="宋体" w:hAnsi="宋体" w:cs="宋体"/>
                <w:szCs w:val="24"/>
              </w:rPr>
            </w:pPr>
            <w:r>
              <w:rPr>
                <w:rFonts w:hint="eastAsia" w:ascii="宋体" w:hAnsi="宋体" w:cs="宋体"/>
                <w:szCs w:val="24"/>
              </w:rPr>
              <w:t>处理突发事件（如离职、劳资纠纷等）及时规范合发合理有效。</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合计</w:t>
            </w:r>
          </w:p>
        </w:tc>
        <w:tc>
          <w:tcPr>
            <w:tcW w:w="5608" w:type="dxa"/>
            <w:gridSpan w:val="2"/>
            <w:vAlign w:val="center"/>
          </w:tcPr>
          <w:p>
            <w:pPr>
              <w:spacing w:line="560" w:lineRule="exact"/>
              <w:jc w:val="center"/>
              <w:rPr>
                <w:rFonts w:ascii="宋体" w:hAnsi="宋体" w:cs="宋体"/>
                <w:szCs w:val="24"/>
              </w:rPr>
            </w:pPr>
          </w:p>
        </w:tc>
        <w:tc>
          <w:tcPr>
            <w:tcW w:w="947" w:type="dxa"/>
          </w:tcPr>
          <w:p>
            <w:pPr>
              <w:spacing w:line="560" w:lineRule="exact"/>
              <w:jc w:val="center"/>
              <w:rPr>
                <w:rFonts w:ascii="宋体" w:hAnsi="宋体" w:cs="宋体"/>
                <w:szCs w:val="24"/>
              </w:rPr>
            </w:pPr>
            <w:r>
              <w:rPr>
                <w:rFonts w:hint="eastAsia" w:ascii="宋体" w:hAnsi="宋体" w:cs="宋体"/>
                <w:szCs w:val="24"/>
              </w:rPr>
              <w:t>100</w:t>
            </w:r>
          </w:p>
        </w:tc>
        <w:tc>
          <w:tcPr>
            <w:tcW w:w="837" w:type="dxa"/>
          </w:tcPr>
          <w:p>
            <w:pPr>
              <w:spacing w:line="560" w:lineRule="exact"/>
              <w:jc w:val="center"/>
              <w:rPr>
                <w:rFonts w:ascii="宋体" w:hAnsi="宋体" w:cs="宋体"/>
                <w:szCs w:val="24"/>
              </w:rPr>
            </w:pPr>
          </w:p>
        </w:tc>
      </w:tr>
    </w:tbl>
    <w:p>
      <w:pPr>
        <w:pStyle w:val="104"/>
        <w:numPr>
          <w:ilvl w:val="0"/>
          <w:numId w:val="3"/>
        </w:numPr>
        <w:tabs>
          <w:tab w:val="left" w:pos="312"/>
        </w:tabs>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重要保密说明</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必须将原始资料及数据全部交还</w:t>
      </w:r>
      <w:r>
        <w:rPr>
          <w:rFonts w:hint="eastAsia" w:ascii="宋体" w:hAnsi="宋体" w:cs="宋体"/>
          <w:spacing w:val="0"/>
          <w:kern w:val="2"/>
          <w:szCs w:val="24"/>
          <w:highlight w:val="none"/>
          <w:lang w:val="en-US" w:eastAsia="zh-CN"/>
        </w:rPr>
        <w:t>采购人</w:t>
      </w:r>
      <w:r>
        <w:rPr>
          <w:rFonts w:hint="eastAsia" w:ascii="宋体" w:hAnsi="宋体" w:eastAsia="宋体" w:cs="宋体"/>
          <w:spacing w:val="0"/>
          <w:kern w:val="2"/>
          <w:szCs w:val="24"/>
          <w:highlight w:val="none"/>
        </w:rPr>
        <w:t>。</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不得对原始资料进行拷贝、扩散、转卖或用作其他用途。</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2、该保密义务在本合同期满、解除或终止后仍然有效。</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3、根据佛山市公安局的相关保密要求，</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须与</w:t>
      </w:r>
      <w:r>
        <w:rPr>
          <w:rFonts w:hint="eastAsia" w:ascii="宋体" w:hAnsi="宋体" w:cs="宋体"/>
          <w:spacing w:val="0"/>
          <w:kern w:val="2"/>
          <w:szCs w:val="24"/>
          <w:highlight w:val="none"/>
          <w:lang w:val="en-US" w:eastAsia="zh-CN"/>
        </w:rPr>
        <w:t>采购人</w:t>
      </w:r>
      <w:r>
        <w:rPr>
          <w:rFonts w:hint="eastAsia" w:ascii="宋体" w:hAnsi="宋体" w:eastAsia="宋体" w:cs="宋体"/>
          <w:spacing w:val="0"/>
          <w:kern w:val="2"/>
          <w:szCs w:val="24"/>
          <w:highlight w:val="none"/>
        </w:rPr>
        <w:t>签订保密协议。</w:t>
      </w:r>
    </w:p>
    <w:p>
      <w:pPr>
        <w:pStyle w:val="104"/>
        <w:numPr>
          <w:ilvl w:val="0"/>
          <w:numId w:val="3"/>
        </w:numPr>
        <w:tabs>
          <w:tab w:val="left" w:pos="312"/>
        </w:tabs>
        <w:spacing w:line="360" w:lineRule="auto"/>
        <w:rPr>
          <w:rFonts w:hint="eastAsia" w:ascii="宋体" w:hAnsi="宋体" w:eastAsia="宋体" w:cs="宋体"/>
          <w:b/>
          <w:szCs w:val="24"/>
          <w:highlight w:val="none"/>
        </w:rPr>
      </w:pPr>
      <w:r>
        <w:rPr>
          <w:rFonts w:hint="eastAsia" w:ascii="宋体" w:hAnsi="宋体" w:eastAsia="宋体" w:cs="宋体"/>
          <w:b/>
          <w:bCs/>
          <w:highlight w:val="none"/>
        </w:rPr>
        <w:t>服务质量考核依次序对照执行标准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1、符合中华人民共和国国家和履约地相关安全质量标准、行业技术规范标准；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2、符合竞争性磋商文件和响应承诺中</w:t>
      </w:r>
      <w:r>
        <w:rPr>
          <w:rFonts w:hint="eastAsia" w:ascii="宋体" w:hAnsi="宋体" w:cs="宋体"/>
          <w:spacing w:val="0"/>
          <w:kern w:val="2"/>
          <w:szCs w:val="24"/>
          <w:highlight w:val="none"/>
          <w:lang w:eastAsia="zh-CN"/>
        </w:rPr>
        <w:t>采购人</w:t>
      </w:r>
      <w:r>
        <w:rPr>
          <w:rFonts w:hint="eastAsia" w:ascii="宋体" w:hAnsi="宋体" w:eastAsia="宋体" w:cs="宋体"/>
          <w:spacing w:val="0"/>
          <w:kern w:val="2"/>
          <w:szCs w:val="24"/>
          <w:highlight w:val="none"/>
        </w:rPr>
        <w:t>认可的合理最佳配置、计划安排及各项要求；</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w:t>
      </w:r>
      <w:r>
        <w:rPr>
          <w:rFonts w:hint="eastAsia" w:ascii="宋体" w:hAnsi="宋体" w:cs="宋体"/>
          <w:spacing w:val="0"/>
          <w:kern w:val="2"/>
          <w:szCs w:val="24"/>
          <w:highlight w:val="none"/>
          <w:lang w:eastAsia="zh-CN"/>
        </w:rPr>
        <w:t>采购人</w:t>
      </w:r>
      <w:r>
        <w:rPr>
          <w:rFonts w:hint="eastAsia" w:ascii="宋体" w:hAnsi="宋体" w:eastAsia="宋体" w:cs="宋体"/>
          <w:spacing w:val="0"/>
          <w:kern w:val="2"/>
          <w:szCs w:val="24"/>
          <w:highlight w:val="none"/>
        </w:rPr>
        <w:t>、</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双方约定的考核标准。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上述各类标准与法规必须是有关官方机构最新发布的现行标准版本。</w:t>
      </w:r>
    </w:p>
    <w:p>
      <w:pPr>
        <w:rPr>
          <w:rFonts w:hint="eastAsia" w:ascii="宋体" w:hAnsi="宋体" w:cs="宋体"/>
          <w:szCs w:val="24"/>
        </w:rPr>
      </w:pPr>
      <w:r>
        <w:rPr>
          <w:rFonts w:hint="eastAsia" w:ascii="宋体" w:hAnsi="宋体" w:cs="宋体"/>
          <w:szCs w:val="24"/>
        </w:rPr>
        <w:br w:type="page"/>
      </w:r>
    </w:p>
    <w:p>
      <w:pPr>
        <w:pStyle w:val="104"/>
        <w:widowControl w:val="0"/>
        <w:numPr>
          <w:ilvl w:val="0"/>
          <w:numId w:val="0"/>
        </w:numPr>
        <w:tabs>
          <w:tab w:val="left" w:pos="510"/>
        </w:tabs>
        <w:spacing w:line="360" w:lineRule="auto"/>
        <w:jc w:val="both"/>
        <w:rPr>
          <w:rFonts w:hint="eastAsia" w:ascii="宋体" w:hAnsi="宋体" w:cs="宋体"/>
          <w:szCs w:val="24"/>
        </w:rPr>
      </w:pPr>
    </w:p>
    <w:p>
      <w:pPr>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（三）采购项目商务要求</w:t>
      </w:r>
      <w:bookmarkEnd w:id="11"/>
    </w:p>
    <w:tbl>
      <w:tblPr>
        <w:tblStyle w:val="44"/>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023"/>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202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highlight w:val="none"/>
              </w:rPr>
            </w:pPr>
            <w:r>
              <w:rPr>
                <w:rFonts w:hint="eastAsia" w:ascii="宋体" w:hAnsi="宋体" w:eastAsia="宋体" w:cs="宋体"/>
                <w:b/>
                <w:szCs w:val="24"/>
                <w:highlight w:val="none"/>
              </w:rPr>
              <w:t>商务条款</w:t>
            </w:r>
          </w:p>
        </w:tc>
        <w:tc>
          <w:tcPr>
            <w:tcW w:w="695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highlight w:val="none"/>
              </w:rPr>
            </w:pPr>
            <w:r>
              <w:rPr>
                <w:rFonts w:hint="eastAsia" w:ascii="宋体" w:hAnsi="宋体" w:eastAsia="宋体" w:cs="宋体"/>
                <w:b/>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1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202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项目控制金额</w:t>
            </w:r>
          </w:p>
        </w:tc>
        <w:tc>
          <w:tcPr>
            <w:tcW w:w="695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w:t>
            </w:r>
            <w:r>
              <w:rPr>
                <w:rFonts w:hint="eastAsia" w:ascii="宋体" w:hAnsi="宋体" w:cs="宋体"/>
                <w:b/>
                <w:sz w:val="24"/>
                <w:szCs w:val="24"/>
                <w:highlight w:val="none"/>
                <w:lang w:eastAsia="zh-CN"/>
              </w:rPr>
              <w:t>800000</w:t>
            </w:r>
            <w:r>
              <w:rPr>
                <w:rFonts w:hint="eastAsia" w:ascii="宋体" w:hAnsi="宋体" w:eastAsia="宋体" w:cs="宋体"/>
                <w:b/>
                <w:sz w:val="24"/>
                <w:szCs w:val="24"/>
                <w:highlight w:val="none"/>
                <w:lang w:eastAsia="zh-CN"/>
              </w:rPr>
              <w:t>.00</w:t>
            </w:r>
            <w:r>
              <w:rPr>
                <w:rFonts w:hint="eastAsia" w:ascii="宋体" w:hAnsi="宋体" w:eastAsia="宋体" w:cs="宋体"/>
                <w:b/>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bCs/>
                <w:color w:val="000000"/>
                <w:kern w:val="0"/>
                <w:sz w:val="24"/>
                <w:szCs w:val="24"/>
                <w:highlight w:val="none"/>
              </w:rPr>
            </w:pPr>
            <w:r>
              <w:rPr>
                <w:rFonts w:hint="eastAsia" w:ascii="宋体" w:hAnsi="宋体" w:eastAsia="宋体" w:cs="宋体"/>
                <w:color w:val="000000"/>
                <w:kern w:val="0"/>
                <w:sz w:val="24"/>
                <w:szCs w:val="24"/>
                <w:highlight w:val="none"/>
                <w:lang w:val="en-US" w:eastAsia="zh-CN" w:bidi="ar-SA"/>
              </w:rPr>
              <w:t>报价要求</w:t>
            </w:r>
          </w:p>
        </w:tc>
        <w:tc>
          <w:tcPr>
            <w:tcW w:w="6952" w:type="dxa"/>
            <w:shd w:val="clear" w:color="auto" w:fill="auto"/>
            <w:vAlign w:val="center"/>
          </w:tcPr>
          <w:p>
            <w:pPr>
              <w:spacing w:line="360" w:lineRule="auto"/>
              <w:jc w:val="left"/>
              <w:rPr>
                <w:rFonts w:hint="eastAsia"/>
              </w:rPr>
            </w:pPr>
            <w:r>
              <w:rPr>
                <w:rFonts w:hint="eastAsia"/>
              </w:rPr>
              <w:t>（1）</w:t>
            </w:r>
            <w:r>
              <w:t>报价不得高于本项目采购预算（含各子项采购预算）及最高限价。</w:t>
            </w:r>
          </w:p>
          <w:p>
            <w:pPr>
              <w:spacing w:line="360" w:lineRule="auto"/>
              <w:jc w:val="left"/>
            </w:pPr>
            <w:r>
              <w:t>（2）报价中包含</w:t>
            </w:r>
            <w:r>
              <w:rPr>
                <w:lang w:val="en-US" w:eastAsia="zh-CN"/>
              </w:rPr>
              <w:t>人员成本费用（人员工资、加班费用、保险等）</w:t>
            </w:r>
          </w:p>
          <w:p>
            <w:pPr>
              <w:spacing w:line="360" w:lineRule="auto"/>
              <w:jc w:val="left"/>
              <w:rPr>
                <w:rFonts w:hint="eastAsia"/>
              </w:rPr>
            </w:pPr>
            <w:r>
              <w:t xml:space="preserve">及管理费用、税费、合理利润、风险费用及合同签订过程中可预见和不可预见费用。 </w:t>
            </w:r>
          </w:p>
          <w:p>
            <w:pPr>
              <w:spacing w:line="360" w:lineRule="auto"/>
              <w:jc w:val="left"/>
              <w:rPr>
                <w:rFonts w:hint="eastAsia"/>
              </w:rPr>
            </w:pPr>
            <w:r>
              <w:t xml:space="preserve">（3）投标人报价时应详列明报价的具体构成。提供服务的全部工作人员的薪金不低于佛山市最低工资标准。 </w:t>
            </w:r>
          </w:p>
          <w:p>
            <w:pPr>
              <w:widowControl/>
              <w:spacing w:line="360" w:lineRule="auto"/>
              <w:jc w:val="left"/>
              <w:rPr>
                <w:rFonts w:hint="eastAsia" w:ascii="宋体" w:hAnsi="宋体" w:eastAsia="宋体" w:cs="宋体"/>
                <w:kern w:val="0"/>
                <w:sz w:val="24"/>
                <w:szCs w:val="24"/>
                <w:highlight w:val="none"/>
              </w:rPr>
            </w:pPr>
            <w:r>
              <w:t xml:space="preserve">（4）投标人必须自行考虑本项目在实施期间的一切可能产生的费用。在合同执行过程中，采购人将不再另行支付与本项目相关的任何费用（非本项目要求的其它内容除外）。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2023" w:type="dxa"/>
            <w:shd w:val="clear" w:color="auto" w:fill="auto"/>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cs="宋体"/>
                <w:color w:val="000000"/>
                <w:kern w:val="0"/>
                <w:szCs w:val="24"/>
                <w:highlight w:val="none"/>
              </w:rPr>
              <w:t>项目服务地点</w:t>
            </w:r>
          </w:p>
        </w:tc>
        <w:tc>
          <w:tcPr>
            <w:tcW w:w="6952" w:type="dxa"/>
            <w:shd w:val="clear" w:color="auto" w:fill="auto"/>
            <w:vAlign w:val="center"/>
          </w:tcPr>
          <w:p>
            <w:pPr>
              <w:widowControl/>
              <w:spacing w:line="360" w:lineRule="auto"/>
              <w:rPr>
                <w:rFonts w:hint="eastAsia" w:ascii="宋体" w:hAnsi="宋体" w:eastAsia="宋体" w:cs="宋体"/>
                <w:sz w:val="24"/>
                <w:szCs w:val="24"/>
                <w:highlight w:val="none"/>
              </w:rPr>
            </w:pPr>
            <w:r>
              <w:rPr>
                <w:rFonts w:hint="eastAsia" w:ascii="宋体" w:hAnsi="宋体" w:cs="宋体"/>
                <w:color w:val="000000"/>
                <w:kern w:val="0"/>
                <w:szCs w:val="24"/>
                <w:highlight w:val="none"/>
              </w:rPr>
              <w:t>采购人（用户）指定地点。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w:t>
            </w:r>
          </w:p>
        </w:tc>
        <w:tc>
          <w:tcPr>
            <w:tcW w:w="2023" w:type="dxa"/>
            <w:shd w:val="clear" w:color="auto" w:fill="auto"/>
            <w:vAlign w:val="center"/>
          </w:tcPr>
          <w:p>
            <w:pPr>
              <w:widowControl/>
              <w:spacing w:line="360" w:lineRule="auto"/>
              <w:jc w:val="center"/>
              <w:rPr>
                <w:rFonts w:hint="eastAsia" w:ascii="宋体" w:hAnsi="宋体" w:eastAsia="宋体" w:cs="宋体"/>
                <w:b w:val="0"/>
                <w:bCs w:val="0"/>
                <w:color w:val="000000"/>
                <w:kern w:val="0"/>
                <w:sz w:val="24"/>
                <w:szCs w:val="24"/>
                <w:highlight w:val="none"/>
              </w:rPr>
            </w:pPr>
            <w:r>
              <w:rPr>
                <w:rFonts w:hint="eastAsia" w:ascii="宋体" w:hAnsi="宋体" w:cs="宋体"/>
                <w:color w:val="000000"/>
                <w:kern w:val="0"/>
                <w:szCs w:val="24"/>
                <w:highlight w:val="none"/>
              </w:rPr>
              <w:t>服务期</w:t>
            </w:r>
          </w:p>
        </w:tc>
        <w:tc>
          <w:tcPr>
            <w:tcW w:w="6952" w:type="dxa"/>
            <w:shd w:val="clear" w:color="auto" w:fill="auto"/>
            <w:vAlign w:val="center"/>
          </w:tcPr>
          <w:p>
            <w:pPr>
              <w:widowControl/>
              <w:spacing w:line="360" w:lineRule="auto"/>
              <w:rPr>
                <w:rFonts w:hint="eastAsia" w:ascii="宋体" w:hAnsi="宋体" w:eastAsia="宋体" w:cs="宋体"/>
                <w:b w:val="0"/>
                <w:bCs w:val="0"/>
                <w:color w:val="000000"/>
                <w:kern w:val="0"/>
                <w:sz w:val="24"/>
                <w:szCs w:val="24"/>
                <w:highlight w:val="none"/>
              </w:rPr>
            </w:pPr>
            <w:r>
              <w:rPr>
                <w:rFonts w:hint="eastAsia"/>
              </w:rPr>
              <w:t>合同生效后，提供</w:t>
            </w:r>
            <w:r>
              <w:rPr>
                <w:rFonts w:hint="eastAsia"/>
                <w:u w:val="single"/>
                <w:lang w:val="en-US" w:eastAsia="zh-CN"/>
              </w:rPr>
              <w:t>1</w:t>
            </w:r>
            <w:r>
              <w:rPr>
                <w:rFonts w:hint="eastAsia"/>
                <w:u w:val="single"/>
              </w:rPr>
              <w:t>年</w:t>
            </w:r>
            <w:r>
              <w:t>服务</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Cs/>
                <w:sz w:val="24"/>
                <w:szCs w:val="24"/>
                <w:highlight w:val="none"/>
                <w:lang w:val="en-US" w:eastAsia="zh-CN"/>
              </w:rPr>
            </w:pPr>
            <w:r>
              <w:rPr>
                <w:rFonts w:hint="eastAsia" w:ascii="宋体" w:hAnsi="宋体" w:cs="宋体"/>
                <w:bCs/>
                <w:sz w:val="24"/>
                <w:szCs w:val="24"/>
                <w:highlight w:val="none"/>
                <w:lang w:val="en-US" w:eastAsia="zh-CN"/>
              </w:rPr>
              <w:t>5</w:t>
            </w:r>
          </w:p>
        </w:tc>
        <w:tc>
          <w:tcPr>
            <w:tcW w:w="2023" w:type="dxa"/>
            <w:shd w:val="clear" w:color="auto" w:fill="auto"/>
            <w:vAlign w:val="center"/>
          </w:tcPr>
          <w:p>
            <w:pPr>
              <w:widowControl/>
              <w:spacing w:line="360" w:lineRule="auto"/>
              <w:jc w:val="center"/>
              <w:rPr>
                <w:rFonts w:hint="eastAsia" w:ascii="宋体" w:hAnsi="宋体" w:cs="宋体"/>
                <w:szCs w:val="24"/>
                <w:highlight w:val="none"/>
              </w:rPr>
            </w:pPr>
            <w:r>
              <w:rPr>
                <w:rFonts w:hint="eastAsia" w:ascii="宋体" w:hAnsi="宋体" w:cs="宋体"/>
                <w:b w:val="0"/>
                <w:bCs w:val="0"/>
                <w:kern w:val="2"/>
                <w:sz w:val="24"/>
                <w:szCs w:val="24"/>
                <w:highlight w:val="none"/>
                <w:lang w:val="en-US" w:eastAsia="zh-CN" w:bidi="ar-SA"/>
              </w:rPr>
              <w:t>付款方式</w:t>
            </w:r>
          </w:p>
        </w:tc>
        <w:tc>
          <w:tcPr>
            <w:tcW w:w="6952" w:type="dxa"/>
            <w:shd w:val="clear" w:color="auto" w:fill="auto"/>
            <w:vAlign w:val="center"/>
          </w:tcPr>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1、采购人对每个季度对成交供应商的服务进行评价，根据评价结果确定本季度的档次，根据对应的档次进行本季度服务费的结算。</w:t>
            </w:r>
          </w:p>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2、每季度服务费=中标</w:t>
            </w:r>
            <w:r>
              <w:rPr>
                <w:rFonts w:hint="eastAsia" w:ascii="宋体" w:hAnsi="宋体" w:cs="宋体"/>
                <w:kern w:val="0"/>
                <w:szCs w:val="24"/>
                <w:highlight w:val="none"/>
                <w:lang w:eastAsia="zh-CN"/>
              </w:rPr>
              <w:t>（</w:t>
            </w:r>
            <w:r>
              <w:rPr>
                <w:rFonts w:hint="eastAsia" w:ascii="宋体" w:hAnsi="宋体" w:cs="宋体"/>
                <w:kern w:val="0"/>
                <w:szCs w:val="24"/>
                <w:highlight w:val="none"/>
                <w:lang w:val="en-US" w:eastAsia="zh-CN"/>
              </w:rPr>
              <w:t>成交</w:t>
            </w:r>
            <w:r>
              <w:rPr>
                <w:rFonts w:hint="eastAsia" w:ascii="宋体" w:hAnsi="宋体" w:cs="宋体"/>
                <w:kern w:val="0"/>
                <w:szCs w:val="24"/>
                <w:highlight w:val="none"/>
                <w:lang w:eastAsia="zh-CN"/>
              </w:rPr>
              <w:t>）</w:t>
            </w:r>
            <w:r>
              <w:rPr>
                <w:rFonts w:hint="eastAsia" w:ascii="宋体" w:hAnsi="宋体" w:cs="宋体"/>
                <w:kern w:val="0"/>
                <w:szCs w:val="24"/>
                <w:highlight w:val="none"/>
              </w:rPr>
              <w:t>合同总金额÷4个季度×服务评价百分比。</w:t>
            </w:r>
          </w:p>
          <w:p>
            <w:pPr>
              <w:widowControl/>
              <w:spacing w:line="360" w:lineRule="auto"/>
              <w:jc w:val="left"/>
              <w:rPr>
                <w:rFonts w:hint="eastAsia" w:ascii="宋体" w:hAnsi="宋体" w:cs="宋体"/>
                <w:kern w:val="0"/>
                <w:szCs w:val="24"/>
                <w:highlight w:val="none"/>
              </w:rPr>
            </w:pPr>
            <w:r>
              <w:rPr>
                <w:rFonts w:hint="eastAsia" w:ascii="宋体" w:hAnsi="宋体" w:cs="宋体"/>
                <w:kern w:val="0"/>
                <w:szCs w:val="24"/>
                <w:highlight w:val="none"/>
              </w:rPr>
              <w:t>3、结算方式：</w:t>
            </w:r>
            <w:r>
              <w:rPr>
                <w:rFonts w:hint="eastAsia" w:ascii="宋体" w:hAnsi="宋体" w:cs="宋体"/>
                <w:kern w:val="0"/>
                <w:szCs w:val="24"/>
                <w:highlight w:val="none"/>
                <w:lang w:eastAsia="zh-CN"/>
              </w:rPr>
              <w:t>合同生效后，采购人按季度支付服务费。采购人在接到中标（成交）</w:t>
            </w:r>
            <w:r>
              <w:rPr>
                <w:rFonts w:hint="eastAsia" w:ascii="宋体" w:hAnsi="宋体" w:cs="宋体"/>
                <w:kern w:val="0"/>
                <w:szCs w:val="24"/>
                <w:highlight w:val="none"/>
              </w:rPr>
              <w:t>供应商</w:t>
            </w:r>
            <w:r>
              <w:rPr>
                <w:rFonts w:hint="eastAsia" w:ascii="宋体" w:hAnsi="宋体" w:cs="宋体"/>
                <w:kern w:val="0"/>
                <w:szCs w:val="24"/>
                <w:highlight w:val="none"/>
                <w:lang w:eastAsia="zh-CN"/>
              </w:rPr>
              <w:t>提交的依法纳税的</w:t>
            </w:r>
            <w:r>
              <w:rPr>
                <w:rFonts w:hint="eastAsia" w:ascii="宋体" w:hAnsi="宋体" w:cs="宋体"/>
                <w:kern w:val="0"/>
                <w:szCs w:val="24"/>
                <w:highlight w:val="none"/>
              </w:rPr>
              <w:t>服务</w:t>
            </w:r>
            <w:r>
              <w:rPr>
                <w:rFonts w:hint="eastAsia" w:ascii="宋体" w:hAnsi="宋体" w:cs="宋体"/>
                <w:kern w:val="0"/>
                <w:szCs w:val="24"/>
                <w:highlight w:val="none"/>
                <w:lang w:eastAsia="zh-CN"/>
              </w:rPr>
              <w:t>费</w:t>
            </w:r>
            <w:r>
              <w:rPr>
                <w:rFonts w:hint="eastAsia" w:ascii="宋体" w:hAnsi="宋体" w:cs="宋体"/>
                <w:kern w:val="0"/>
                <w:szCs w:val="24"/>
                <w:highlight w:val="none"/>
              </w:rPr>
              <w:t>发票</w:t>
            </w:r>
            <w:r>
              <w:rPr>
                <w:rFonts w:hint="eastAsia" w:ascii="宋体" w:hAnsi="宋体" w:cs="宋体"/>
                <w:kern w:val="0"/>
                <w:szCs w:val="24"/>
                <w:highlight w:val="none"/>
                <w:lang w:eastAsia="zh-CN"/>
              </w:rPr>
              <w:t>后</w:t>
            </w:r>
            <w:r>
              <w:rPr>
                <w:rFonts w:hint="eastAsia" w:ascii="宋体" w:hAnsi="宋体" w:cs="宋体"/>
                <w:kern w:val="0"/>
                <w:szCs w:val="24"/>
                <w:highlight w:val="none"/>
              </w:rPr>
              <w:t>，</w:t>
            </w:r>
            <w:r>
              <w:rPr>
                <w:rFonts w:hint="eastAsia" w:ascii="宋体" w:hAnsi="宋体" w:cs="宋体"/>
                <w:kern w:val="0"/>
                <w:szCs w:val="24"/>
                <w:highlight w:val="none"/>
                <w:lang w:eastAsia="zh-CN"/>
              </w:rPr>
              <w:t>结合每季度对中标（成交）</w:t>
            </w:r>
            <w:r>
              <w:rPr>
                <w:rFonts w:hint="eastAsia" w:ascii="宋体" w:hAnsi="宋体" w:cs="宋体"/>
                <w:kern w:val="0"/>
                <w:szCs w:val="24"/>
                <w:highlight w:val="none"/>
              </w:rPr>
              <w:t>供应商</w:t>
            </w:r>
            <w:r>
              <w:rPr>
                <w:rFonts w:hint="eastAsia" w:ascii="宋体" w:hAnsi="宋体" w:cs="宋体"/>
                <w:kern w:val="0"/>
                <w:szCs w:val="24"/>
                <w:highlight w:val="none"/>
                <w:lang w:eastAsia="zh-CN"/>
              </w:rPr>
              <w:t>的服务质量考核情况，于每季度的末月上旬支付当季服务费用。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6</w:t>
            </w:r>
          </w:p>
        </w:tc>
        <w:tc>
          <w:tcPr>
            <w:tcW w:w="2023" w:type="dxa"/>
            <w:shd w:val="clear" w:color="auto" w:fill="auto"/>
            <w:vAlign w:val="center"/>
          </w:tcPr>
          <w:p>
            <w:pPr>
              <w:widowControl/>
              <w:spacing w:line="360" w:lineRule="auto"/>
              <w:jc w:val="center"/>
              <w:rPr>
                <w:rFonts w:hint="eastAsia" w:ascii="宋体" w:hAnsi="宋体" w:eastAsia="宋体" w:cs="宋体"/>
                <w:b w:val="0"/>
                <w:bCs w:val="0"/>
                <w:szCs w:val="21"/>
                <w:highlight w:val="none"/>
                <w:lang w:val="en-US" w:eastAsia="zh-CN"/>
              </w:rPr>
            </w:pPr>
            <w:r>
              <w:rPr>
                <w:rFonts w:hint="eastAsia" w:ascii="宋体" w:hAnsi="宋体" w:cs="宋体"/>
                <w:szCs w:val="24"/>
                <w:highlight w:val="none"/>
              </w:rPr>
              <w:t>付款要求</w:t>
            </w:r>
          </w:p>
        </w:tc>
        <w:tc>
          <w:tcPr>
            <w:tcW w:w="6952" w:type="dxa"/>
            <w:shd w:val="clear" w:color="auto" w:fill="auto"/>
            <w:vAlign w:val="center"/>
          </w:tcPr>
          <w:p>
            <w:pPr>
              <w:numPr>
                <w:ilvl w:val="0"/>
                <w:numId w:val="4"/>
              </w:numPr>
              <w:spacing w:line="360" w:lineRule="auto"/>
              <w:rPr>
                <w:highlight w:val="none"/>
              </w:rPr>
            </w:pPr>
            <w:r>
              <w:rPr>
                <w:highlight w:val="none"/>
              </w:rPr>
              <w:t>中标</w:t>
            </w:r>
            <w:r>
              <w:rPr>
                <w:rFonts w:hint="eastAsia"/>
                <w:szCs w:val="21"/>
                <w:highlight w:val="none"/>
              </w:rPr>
              <w:t>（成交）</w:t>
            </w:r>
            <w:r>
              <w:rPr>
                <w:highlight w:val="none"/>
              </w:rPr>
              <w:t>供应商每季度须向采购人提供依法纳税的服务费发票</w:t>
            </w:r>
            <w:r>
              <w:rPr>
                <w:rFonts w:hint="eastAsia"/>
                <w:highlight w:val="none"/>
              </w:rPr>
              <w:t>。</w:t>
            </w:r>
          </w:p>
          <w:p>
            <w:pPr>
              <w:numPr>
                <w:ilvl w:val="0"/>
                <w:numId w:val="4"/>
              </w:numPr>
              <w:spacing w:line="360" w:lineRule="auto"/>
              <w:rPr>
                <w:highlight w:val="none"/>
              </w:rPr>
            </w:pPr>
            <w:r>
              <w:rPr>
                <w:highlight w:val="none"/>
              </w:rPr>
              <w:t>服务费以转账方式转入中标</w:t>
            </w:r>
            <w:r>
              <w:rPr>
                <w:rFonts w:hint="eastAsia"/>
                <w:szCs w:val="21"/>
                <w:highlight w:val="none"/>
              </w:rPr>
              <w:t>（成交）</w:t>
            </w:r>
            <w:r>
              <w:rPr>
                <w:highlight w:val="none"/>
              </w:rPr>
              <w:t>供应商的银行账户。</w:t>
            </w:r>
          </w:p>
          <w:p>
            <w:pPr>
              <w:widowControl/>
              <w:spacing w:line="360" w:lineRule="auto"/>
              <w:jc w:val="left"/>
              <w:rPr>
                <w:rFonts w:hint="eastAsia" w:ascii="宋体" w:hAnsi="宋体" w:eastAsia="宋体" w:cs="宋体"/>
                <w:b w:val="0"/>
                <w:bCs w:val="0"/>
                <w:highlight w:val="none"/>
              </w:rPr>
            </w:pPr>
            <w:r>
              <w:rPr>
                <w:highlight w:val="none"/>
              </w:rPr>
              <w:t>收款方、出具发票方、合同乙方均必须与中标</w:t>
            </w:r>
            <w:r>
              <w:rPr>
                <w:rFonts w:hint="eastAsia"/>
                <w:szCs w:val="21"/>
                <w:highlight w:val="none"/>
              </w:rPr>
              <w:t>（成交）</w:t>
            </w:r>
            <w:r>
              <w:rPr>
                <w:highlight w:val="none"/>
              </w:rPr>
              <w:t>供应商名称一致。</w:t>
            </w:r>
            <w:r>
              <w:rPr>
                <w:rFonts w:hint="eastAsia" w:ascii="宋体" w:hAnsi="宋体" w:cs="宋体"/>
                <w:kern w:val="0"/>
                <w:szCs w:val="24"/>
                <w:highlight w:val="none"/>
              </w:rPr>
              <w:t>支付日期不包含财政部门审核日期。</w:t>
            </w:r>
          </w:p>
        </w:tc>
      </w:tr>
    </w:tbl>
    <w:p>
      <w:pPr>
        <w:widowControl w:val="0"/>
        <w:numPr>
          <w:ilvl w:val="1"/>
          <w:numId w:val="5"/>
        </w:numPr>
        <w:spacing w:before="0" w:beforeAutospacing="0" w:after="0" w:afterAutospacing="0" w:line="360" w:lineRule="auto"/>
        <w:ind w:left="510" w:right="0" w:hanging="510"/>
        <w:jc w:val="left"/>
        <w:rPr>
          <w:rFonts w:hint="eastAsia" w:ascii="宋体" w:hAnsi="宋体" w:eastAsia="宋体" w:cs="宋体"/>
          <w:bCs/>
          <w:szCs w:val="24"/>
          <w:highlight w:val="none"/>
          <w:lang w:val="en-US"/>
        </w:rPr>
      </w:pPr>
      <w:bookmarkStart w:id="12" w:name="_Toc17489"/>
      <w:bookmarkStart w:id="13" w:name="_Toc25829"/>
      <w:r>
        <w:rPr>
          <w:rFonts w:hint="eastAsia" w:ascii="宋体" w:hAnsi="宋体" w:eastAsia="宋体" w:cs="宋体"/>
          <w:bCs/>
          <w:kern w:val="2"/>
          <w:sz w:val="24"/>
          <w:szCs w:val="24"/>
          <w:highlight w:val="none"/>
          <w:lang w:val="en-US" w:eastAsia="zh-CN" w:bidi="ar-SA"/>
        </w:rPr>
        <w:t>其他商务要求：</w:t>
      </w:r>
    </w:p>
    <w:p>
      <w:pPr>
        <w:tabs>
          <w:tab w:val="left" w:pos="540"/>
        </w:tabs>
        <w:snapToGrid w:val="0"/>
        <w:spacing w:line="360" w:lineRule="auto"/>
        <w:ind w:left="240" w:hanging="240" w:hangingChars="100"/>
        <w:rPr>
          <w:rFonts w:ascii="宋体" w:hAnsi="宋体"/>
          <w:szCs w:val="21"/>
          <w:highlight w:val="none"/>
        </w:rPr>
      </w:pPr>
      <w:r>
        <w:rPr>
          <w:rFonts w:hint="eastAsia" w:ascii="宋体" w:hAnsi="宋体"/>
          <w:szCs w:val="21"/>
          <w:highlight w:val="none"/>
        </w:rPr>
        <w:t>1.成交供应商须按其响应文件中承诺提供的项目组人员必须按要求投入到本项目中，需要更换项目组人员时，应事前书面通知采购人。</w:t>
      </w:r>
    </w:p>
    <w:p>
      <w:pPr>
        <w:tabs>
          <w:tab w:val="left" w:pos="540"/>
        </w:tabs>
        <w:snapToGrid w:val="0"/>
        <w:spacing w:line="360" w:lineRule="auto"/>
        <w:ind w:left="240" w:hanging="240" w:hangingChars="100"/>
        <w:rPr>
          <w:rFonts w:ascii="宋体" w:hAnsi="宋体"/>
          <w:szCs w:val="21"/>
          <w:highlight w:val="none"/>
        </w:rPr>
      </w:pPr>
      <w:r>
        <w:rPr>
          <w:rFonts w:hint="eastAsia" w:ascii="宋体" w:hAnsi="宋体"/>
          <w:szCs w:val="21"/>
          <w:highlight w:val="none"/>
        </w:rPr>
        <w:t>2.采购人有权以书面形式要求成交供应商更换不能按规定履行合同的人员。</w:t>
      </w:r>
    </w:p>
    <w:p>
      <w:pPr>
        <w:tabs>
          <w:tab w:val="left" w:pos="540"/>
        </w:tabs>
        <w:snapToGrid w:val="0"/>
        <w:spacing w:line="360" w:lineRule="auto"/>
        <w:ind w:left="240" w:hanging="240" w:hangingChars="100"/>
        <w:rPr>
          <w:rFonts w:ascii="宋体" w:hAnsi="宋体"/>
          <w:szCs w:val="21"/>
          <w:highlight w:val="none"/>
        </w:rPr>
      </w:pPr>
      <w:r>
        <w:rPr>
          <w:rFonts w:hint="eastAsia" w:ascii="宋体" w:hAnsi="宋体"/>
          <w:szCs w:val="21"/>
          <w:highlight w:val="none"/>
        </w:rPr>
        <w:t>3.即使是采购人要求或同意更换的人员，其代替人员的资质仍应得到采购人的认可，且其资历和经验均不低于被更换人员。由此而产生的费用由成交供应商承担。</w:t>
      </w:r>
    </w:p>
    <w:p>
      <w:pPr>
        <w:pStyle w:val="16"/>
        <w:rPr>
          <w:rFonts w:hint="eastAsia"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4.供应商对其服务人员的人身安全负全部责任。</w:t>
      </w:r>
    </w:p>
    <w:p>
      <w:pPr>
        <w:pStyle w:val="3"/>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kern w:val="2"/>
          <w:sz w:val="28"/>
          <w:szCs w:val="28"/>
          <w:highlight w:val="none"/>
        </w:rPr>
        <w:t>第三部分  供应商须知</w:t>
      </w:r>
      <w:bookmarkEnd w:id="12"/>
      <w:bookmarkEnd w:id="13"/>
      <w:bookmarkStart w:id="14" w:name="_Toc19882"/>
    </w:p>
    <w:p>
      <w:pPr>
        <w:pStyle w:val="3"/>
        <w:spacing w:line="360" w:lineRule="auto"/>
        <w:jc w:val="center"/>
        <w:rPr>
          <w:rFonts w:hint="eastAsia" w:ascii="宋体" w:hAnsi="宋体" w:eastAsia="宋体" w:cs="宋体"/>
          <w:sz w:val="24"/>
          <w:szCs w:val="24"/>
          <w:highlight w:val="none"/>
        </w:rPr>
      </w:pPr>
      <w:bookmarkStart w:id="15" w:name="_Toc6477"/>
      <w:bookmarkStart w:id="16" w:name="_Toc8843"/>
      <w:r>
        <w:rPr>
          <w:rFonts w:hint="eastAsia" w:ascii="宋体" w:hAnsi="宋体" w:eastAsia="宋体" w:cs="宋体"/>
          <w:sz w:val="24"/>
          <w:szCs w:val="24"/>
          <w:highlight w:val="none"/>
        </w:rPr>
        <w:t>供应商须知前附表</w:t>
      </w:r>
      <w:bookmarkEnd w:id="14"/>
      <w:bookmarkEnd w:id="15"/>
      <w:bookmarkEnd w:id="16"/>
    </w:p>
    <w:tbl>
      <w:tblPr>
        <w:tblStyle w:val="44"/>
        <w:tblW w:w="10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382"/>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blHeader/>
          <w:jc w:val="center"/>
        </w:trPr>
        <w:tc>
          <w:tcPr>
            <w:tcW w:w="965" w:type="dxa"/>
            <w:shd w:val="clear" w:color="auto" w:fill="F3F3F3"/>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2382" w:type="dxa"/>
            <w:shd w:val="clear" w:color="auto" w:fill="F3F3F3"/>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项目</w:t>
            </w:r>
          </w:p>
        </w:tc>
        <w:tc>
          <w:tcPr>
            <w:tcW w:w="6974" w:type="dxa"/>
            <w:shd w:val="clear" w:color="auto" w:fill="F3F3F3"/>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最高限价</w:t>
            </w:r>
          </w:p>
        </w:tc>
        <w:tc>
          <w:tcPr>
            <w:tcW w:w="6974" w:type="dxa"/>
            <w:vAlign w:val="center"/>
          </w:tcPr>
          <w:p>
            <w:pPr>
              <w:snapToGrid w:val="0"/>
              <w:spacing w:line="360" w:lineRule="auto"/>
              <w:ind w:left="361" w:hanging="361" w:hangingChars="150"/>
              <w:jc w:val="center"/>
              <w:rPr>
                <w:rFonts w:hint="eastAsia" w:ascii="宋体" w:hAnsi="宋体" w:eastAsia="宋体" w:cs="宋体"/>
                <w:b/>
                <w:szCs w:val="24"/>
                <w:highlight w:val="none"/>
              </w:rPr>
            </w:pPr>
            <w:r>
              <w:rPr>
                <w:rFonts w:hint="eastAsia" w:ascii="宋体" w:hAnsi="宋体" w:eastAsia="宋体" w:cs="宋体"/>
                <w:b/>
                <w:szCs w:val="24"/>
                <w:highlight w:val="none"/>
              </w:rPr>
              <w:t>¥</w:t>
            </w:r>
            <w:r>
              <w:rPr>
                <w:rFonts w:hint="eastAsia" w:ascii="宋体" w:hAnsi="宋体" w:cs="宋体"/>
                <w:b/>
                <w:szCs w:val="24"/>
                <w:highlight w:val="none"/>
                <w:lang w:eastAsia="zh-CN"/>
              </w:rPr>
              <w:t>800000</w:t>
            </w:r>
            <w:r>
              <w:rPr>
                <w:rFonts w:hint="eastAsia" w:ascii="宋体" w:hAnsi="宋体" w:eastAsia="宋体" w:cs="宋体"/>
                <w:b/>
                <w:szCs w:val="24"/>
                <w:highlight w:val="none"/>
                <w:lang w:eastAsia="zh-CN"/>
              </w:rPr>
              <w:t>.00</w:t>
            </w:r>
            <w:r>
              <w:rPr>
                <w:rFonts w:hint="eastAsia" w:ascii="宋体" w:hAnsi="宋体" w:eastAsia="宋体" w:cs="宋体"/>
                <w:b/>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2</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磋商保证金</w:t>
            </w:r>
          </w:p>
        </w:tc>
        <w:tc>
          <w:tcPr>
            <w:tcW w:w="6974" w:type="dxa"/>
            <w:vAlign w:val="center"/>
          </w:tcPr>
          <w:p>
            <w:pPr>
              <w:snapToGrid w:val="0"/>
              <w:spacing w:line="360" w:lineRule="auto"/>
              <w:ind w:left="361" w:hanging="361" w:hangingChars="150"/>
              <w:rPr>
                <w:rFonts w:hint="eastAsia" w:ascii="宋体" w:hAnsi="宋体" w:eastAsia="宋体" w:cs="宋体"/>
                <w:b/>
                <w:szCs w:val="24"/>
                <w:highlight w:val="none"/>
              </w:rPr>
            </w:pPr>
            <w:r>
              <w:rPr>
                <w:rFonts w:hint="eastAsia" w:ascii="宋体" w:hAnsi="宋体" w:eastAsia="宋体" w:cs="宋体"/>
                <w:b/>
                <w:szCs w:val="24"/>
                <w:highlight w:val="none"/>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3</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磋商有效期</w:t>
            </w:r>
          </w:p>
        </w:tc>
        <w:tc>
          <w:tcPr>
            <w:tcW w:w="697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磋商有效期：</w:t>
            </w:r>
            <w:r>
              <w:rPr>
                <w:rFonts w:hint="eastAsia" w:ascii="宋体" w:hAnsi="宋体" w:eastAsia="宋体" w:cs="宋体"/>
                <w:szCs w:val="24"/>
                <w:highlight w:val="none"/>
              </w:rPr>
              <w:t>磋商截止时间起90天（成交供应商的磋商有效期延续到项目验收之日止）。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5"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4</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响应文件的数量</w:t>
            </w:r>
          </w:p>
        </w:tc>
        <w:tc>
          <w:tcPr>
            <w:tcW w:w="697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响应文件</w:t>
            </w:r>
            <w:r>
              <w:rPr>
                <w:rFonts w:hint="eastAsia" w:ascii="宋体" w:hAnsi="宋体" w:eastAsia="宋体" w:cs="宋体"/>
                <w:b/>
                <w:bCs/>
                <w:szCs w:val="24"/>
                <w:highlight w:val="none"/>
              </w:rPr>
              <w:t>正本一份</w:t>
            </w:r>
            <w:r>
              <w:rPr>
                <w:rFonts w:hint="eastAsia" w:ascii="宋体" w:hAnsi="宋体" w:eastAsia="宋体" w:cs="宋体"/>
                <w:szCs w:val="24"/>
                <w:highlight w:val="none"/>
              </w:rPr>
              <w:t>，</w:t>
            </w:r>
            <w:r>
              <w:rPr>
                <w:rFonts w:hint="eastAsia" w:ascii="宋体" w:hAnsi="宋体" w:eastAsia="宋体" w:cs="宋体"/>
                <w:b/>
                <w:bCs/>
                <w:szCs w:val="24"/>
                <w:highlight w:val="none"/>
              </w:rPr>
              <w:t>副本二份</w:t>
            </w:r>
            <w:r>
              <w:rPr>
                <w:rFonts w:hint="eastAsia" w:ascii="宋体" w:hAnsi="宋体" w:eastAsia="宋体" w:cs="宋体"/>
                <w:szCs w:val="24"/>
                <w:highlight w:val="none"/>
              </w:rPr>
              <w:t>，及响应文件</w:t>
            </w:r>
            <w:r>
              <w:rPr>
                <w:rFonts w:hint="eastAsia" w:ascii="宋体" w:hAnsi="宋体" w:eastAsia="宋体" w:cs="宋体"/>
                <w:b/>
                <w:szCs w:val="24"/>
                <w:highlight w:val="none"/>
              </w:rPr>
              <w:t>电子版一份</w:t>
            </w:r>
            <w:r>
              <w:rPr>
                <w:rFonts w:hint="eastAsia" w:ascii="宋体" w:hAnsi="宋体" w:eastAsia="宋体" w:cs="宋体"/>
                <w:szCs w:val="24"/>
                <w:highlight w:val="none"/>
              </w:rPr>
              <w:t>。响应文件没有正本或副本份数不足，及没有电子版响应文件的，其磋商将被作为无效磋商处理。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（1）每份响应文件必须分别固定装订成册（不得采用活页形式），并在响应文件封面上清楚地标明“正本”或“副本”字样。</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（2）若本项目包含多个子包，供应商应以拟磋商的单个子包为单位，分别准备响应文件，每套响应文件对应一个拟磋商的子包，并在每套响应文件的封面清楚地标明所投“包号”。</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（3）电子文件要求光盘或 U 盘介质，不留密码，无病毒，不压缩。除响应文件中提供的图片及相关扫描文件外，其他内容应保留EXCEL 格式或 WORD 格式可编辑文档格式文件，如供应商成交，部分内容将用于结果公告公布，电子响应文件与纸质响应文件内容不同，以盖章的纸质响应文件正本为准。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5</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响应文件的密封与递交</w:t>
            </w:r>
          </w:p>
        </w:tc>
        <w:tc>
          <w:tcPr>
            <w:tcW w:w="6974" w:type="dxa"/>
            <w:vAlign w:val="center"/>
          </w:tcPr>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1. 响应文件密封包类别：</w:t>
            </w:r>
            <w:r>
              <w:rPr>
                <w:rFonts w:hint="eastAsia" w:ascii="宋体" w:hAnsi="宋体" w:eastAsia="宋体" w:cs="宋体"/>
                <w:szCs w:val="24"/>
                <w:highlight w:val="none"/>
                <w:lang w:val="en-GB"/>
              </w:rPr>
              <w:t>至少包含以下</w:t>
            </w:r>
            <w:r>
              <w:rPr>
                <w:rFonts w:hint="eastAsia" w:ascii="宋体" w:hAnsi="宋体" w:eastAsia="宋体" w:cs="宋体"/>
                <w:b/>
                <w:szCs w:val="24"/>
                <w:highlight w:val="none"/>
                <w:lang w:val="en-GB"/>
              </w:rPr>
              <w:t xml:space="preserve"> 2 </w:t>
            </w:r>
            <w:r>
              <w:rPr>
                <w:rFonts w:hint="eastAsia" w:ascii="宋体" w:hAnsi="宋体" w:eastAsia="宋体" w:cs="宋体"/>
                <w:szCs w:val="24"/>
                <w:highlight w:val="none"/>
                <w:lang w:val="en-GB"/>
              </w:rPr>
              <w:t>类独立密封包：</w:t>
            </w:r>
          </w:p>
          <w:p>
            <w:p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1）响应文件密封包；</w:t>
            </w:r>
          </w:p>
          <w:p>
            <w:p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2）报价信封密封包。</w:t>
            </w:r>
          </w:p>
          <w:p>
            <w:pPr>
              <w:snapToGrid w:val="0"/>
              <w:spacing w:line="360" w:lineRule="auto"/>
              <w:ind w:left="361" w:hanging="361" w:hangingChars="150"/>
              <w:rPr>
                <w:rFonts w:hint="eastAsia" w:ascii="宋体" w:hAnsi="宋体" w:eastAsia="宋体" w:cs="宋体"/>
                <w:szCs w:val="24"/>
                <w:highlight w:val="none"/>
              </w:rPr>
            </w:pPr>
            <w:r>
              <w:rPr>
                <w:rFonts w:hint="eastAsia" w:ascii="宋体" w:hAnsi="宋体" w:eastAsia="宋体" w:cs="宋体"/>
                <w:b/>
                <w:szCs w:val="24"/>
                <w:highlight w:val="none"/>
              </w:rPr>
              <w:t>2. 响应文件密封包包含内容：</w:t>
            </w:r>
            <w:r>
              <w:rPr>
                <w:rFonts w:hint="eastAsia" w:ascii="宋体" w:hAnsi="宋体" w:eastAsia="宋体" w:cs="宋体"/>
                <w:szCs w:val="24"/>
                <w:highlight w:val="none"/>
              </w:rPr>
              <w:t>响应文件正本、副本（正本与副本可分开密封，也可全部密封在一包内）；</w:t>
            </w:r>
          </w:p>
          <w:p>
            <w:pPr>
              <w:snapToGrid w:val="0"/>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 报价信封密封包包含内容：</w:t>
            </w:r>
          </w:p>
          <w:p>
            <w:pPr>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1）《报价一览表》原件一份（加盖公章）；（响应文件格式如有）</w:t>
            </w:r>
          </w:p>
          <w:p>
            <w:pPr>
              <w:pStyle w:val="47"/>
              <w:spacing w:line="360" w:lineRule="auto"/>
              <w:rPr>
                <w:rFonts w:hint="eastAsia" w:ascii="宋体" w:hAnsi="宋体" w:eastAsia="宋体" w:cs="宋体"/>
                <w:szCs w:val="24"/>
                <w:highlight w:val="none"/>
              </w:rPr>
            </w:pPr>
            <w:r>
              <w:rPr>
                <w:rFonts w:hint="eastAsia" w:ascii="宋体" w:hAnsi="宋体" w:eastAsia="宋体" w:cs="宋体"/>
                <w:szCs w:val="24"/>
                <w:highlight w:val="none"/>
              </w:rPr>
              <w:t>2）授权书原件（须加盖公章）；</w:t>
            </w:r>
          </w:p>
          <w:p>
            <w:pPr>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3）电子文档一份。</w:t>
            </w:r>
          </w:p>
          <w:p>
            <w:pPr>
              <w:snapToGrid w:val="0"/>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注：报价信封须单独密封。</w:t>
            </w:r>
          </w:p>
          <w:p>
            <w:pPr>
              <w:snapToGrid w:val="0"/>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4.实物样品是否需要密封：</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szCs w:val="24"/>
                <w:highlight w:val="none"/>
              </w:rPr>
              <w:instrText xml:space="preserve">,√)</w:instrText>
            </w:r>
            <w:r>
              <w:rPr>
                <w:rFonts w:hint="eastAsia" w:ascii="宋体" w:hAnsi="宋体" w:eastAsia="宋体" w:cs="宋体"/>
                <w:szCs w:val="24"/>
                <w:highlight w:val="none"/>
              </w:rPr>
              <w:fldChar w:fldCharType="end"/>
            </w:r>
            <w:r>
              <w:rPr>
                <w:rFonts w:hint="eastAsia" w:ascii="宋体" w:hAnsi="宋体" w:eastAsia="宋体" w:cs="宋体"/>
                <w:szCs w:val="24"/>
                <w:highlight w:val="none"/>
              </w:rPr>
              <w:t xml:space="preserve"> 不需要 □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6</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响应文件签字及</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盖章</w:t>
            </w:r>
          </w:p>
        </w:tc>
        <w:tc>
          <w:tcPr>
            <w:tcW w:w="6974" w:type="dxa"/>
            <w:vAlign w:val="center"/>
          </w:tcPr>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响应文件的正本需打印或用不褪色墨水书写，并在响应文件格式有提示的地方由供应商的法定代表人或经法定代表人正式授权的代表签字及加盖单位公章。</w:t>
            </w:r>
          </w:p>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《响应文件》的【正本】及所有【副本】的封面及骑缝均须加盖供应商法人公章。</w:t>
            </w:r>
          </w:p>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由法定代表人签字的，须在响应文件中出具“法定代表人资格证明书”原件；响应文件由授权代表签字的，则须在响应文件中出具“法定代表人资格证明书”和“法定代表人授权书”原件。响应文件无法定代表人签字或签字人无法定代表人有效授权的，作为无效磋商处理。</w:t>
            </w:r>
          </w:p>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响应文件的副本可采用签字盖章后的正本的复印件。所有的复印件（包括正本中的响应资料）均应保证清晰可辨，否则不清晰内容的有效性不予被认可。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7</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磋商小组的组成</w:t>
            </w:r>
          </w:p>
        </w:tc>
        <w:tc>
          <w:tcPr>
            <w:tcW w:w="6974"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磋商小组成员共</w:t>
            </w:r>
            <w:r>
              <w:rPr>
                <w:rFonts w:hint="eastAsia" w:ascii="宋体" w:hAnsi="宋体" w:eastAsia="宋体" w:cs="宋体"/>
                <w:b/>
                <w:szCs w:val="24"/>
                <w:highlight w:val="none"/>
                <w:u w:val="single"/>
              </w:rPr>
              <w:t xml:space="preserve"> 3 </w:t>
            </w:r>
            <w:r>
              <w:rPr>
                <w:rFonts w:hint="eastAsia" w:ascii="宋体" w:hAnsi="宋体" w:eastAsia="宋体" w:cs="宋体"/>
                <w:szCs w:val="24"/>
                <w:highlight w:val="none"/>
              </w:rPr>
              <w:t>人；</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其中：评标专家</w:t>
            </w:r>
            <w:r>
              <w:rPr>
                <w:rFonts w:hint="eastAsia" w:ascii="宋体" w:hAnsi="宋体" w:eastAsia="宋体" w:cs="宋体"/>
                <w:b/>
                <w:szCs w:val="24"/>
                <w:highlight w:val="none"/>
                <w:u w:val="single"/>
              </w:rPr>
              <w:t xml:space="preserve"> 2 </w:t>
            </w:r>
            <w:r>
              <w:rPr>
                <w:rFonts w:hint="eastAsia" w:ascii="宋体" w:hAnsi="宋体" w:eastAsia="宋体" w:cs="宋体"/>
                <w:szCs w:val="24"/>
                <w:highlight w:val="none"/>
              </w:rPr>
              <w:t>人，采购人代表</w:t>
            </w:r>
            <w:r>
              <w:rPr>
                <w:rFonts w:hint="eastAsia" w:ascii="宋体" w:hAnsi="宋体" w:eastAsia="宋体" w:cs="宋体"/>
                <w:b/>
                <w:szCs w:val="24"/>
                <w:highlight w:val="none"/>
                <w:u w:val="single"/>
              </w:rPr>
              <w:t xml:space="preserve"> 1 </w:t>
            </w:r>
            <w:r>
              <w:rPr>
                <w:rFonts w:hint="eastAsia" w:ascii="宋体" w:hAnsi="宋体" w:eastAsia="宋体" w:cs="宋体"/>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8</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评审流程与相关事项</w:t>
            </w:r>
          </w:p>
        </w:tc>
        <w:tc>
          <w:tcPr>
            <w:tcW w:w="6974"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磋商小组推荐成交候选人的数量：</w:t>
            </w:r>
            <w:r>
              <w:rPr>
                <w:rFonts w:hint="eastAsia" w:ascii="宋体" w:hAnsi="宋体" w:eastAsia="宋体" w:cs="宋体"/>
                <w:b/>
                <w:szCs w:val="24"/>
                <w:highlight w:val="none"/>
                <w:u w:val="single"/>
              </w:rPr>
              <w:t xml:space="preserve"> 3 </w:t>
            </w:r>
            <w:r>
              <w:rPr>
                <w:rFonts w:hint="eastAsia" w:ascii="宋体" w:hAnsi="宋体" w:eastAsia="宋体" w:cs="宋体"/>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9</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成交资格的确定</w:t>
            </w:r>
          </w:p>
        </w:tc>
        <w:tc>
          <w:tcPr>
            <w:tcW w:w="6974"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zh-CN"/>
              </w:rPr>
              <w:t>成交供应商数量：</w:t>
            </w:r>
            <w:r>
              <w:rPr>
                <w:rFonts w:hint="eastAsia" w:ascii="宋体" w:hAnsi="宋体" w:eastAsia="宋体" w:cs="宋体"/>
                <w:b/>
                <w:szCs w:val="24"/>
                <w:highlight w:val="none"/>
                <w:u w:val="single"/>
                <w:lang w:val="zh-CN"/>
              </w:rPr>
              <w:t xml:space="preserve"> </w:t>
            </w:r>
            <w:r>
              <w:rPr>
                <w:rFonts w:hint="eastAsia" w:ascii="宋体" w:hAnsi="宋体" w:eastAsia="宋体" w:cs="宋体"/>
                <w:b/>
                <w:szCs w:val="24"/>
                <w:highlight w:val="none"/>
                <w:u w:val="single"/>
              </w:rPr>
              <w:t xml:space="preserve">1 </w:t>
            </w:r>
            <w:r>
              <w:rPr>
                <w:rFonts w:hint="eastAsia" w:ascii="宋体" w:hAnsi="宋体" w:eastAsia="宋体" w:cs="宋体"/>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10</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成交服务费</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（招标代理费）</w:t>
            </w:r>
          </w:p>
        </w:tc>
        <w:tc>
          <w:tcPr>
            <w:tcW w:w="6974" w:type="dxa"/>
            <w:vAlign w:val="center"/>
          </w:tcPr>
          <w:p>
            <w:pPr>
              <w:pStyle w:val="12"/>
              <w:numPr>
                <w:ilvl w:val="0"/>
                <w:numId w:val="7"/>
              </w:numPr>
              <w:spacing w:line="360" w:lineRule="auto"/>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成交服务费收费标准：本项目成交服务费由成交供应商向代理机构缴纳。</w:t>
            </w:r>
          </w:p>
          <w:p>
            <w:pPr>
              <w:pStyle w:val="12"/>
              <w:numPr>
                <w:ilvl w:val="0"/>
                <w:numId w:val="7"/>
              </w:numPr>
              <w:spacing w:line="360" w:lineRule="auto"/>
              <w:ind w:firstLine="0" w:firstLineChars="0"/>
              <w:rPr>
                <w:rFonts w:hint="eastAsia" w:ascii="宋体" w:hAnsi="宋体" w:eastAsia="宋体" w:cs="宋体"/>
                <w:szCs w:val="24"/>
                <w:highlight w:val="none"/>
              </w:rPr>
            </w:pPr>
            <w:r>
              <w:rPr>
                <w:rFonts w:hint="eastAsia" w:ascii="宋体" w:hAnsi="宋体" w:eastAsia="宋体" w:cs="宋体"/>
                <w:color w:val="000000"/>
                <w:szCs w:val="24"/>
                <w:highlight w:val="none"/>
              </w:rPr>
              <w:t>本项目定额收费：¥</w:t>
            </w:r>
            <w:r>
              <w:rPr>
                <w:rFonts w:hint="eastAsia" w:ascii="宋体" w:hAnsi="宋体" w:eastAsia="宋体" w:cs="宋体"/>
                <w:color w:val="000000"/>
                <w:szCs w:val="24"/>
                <w:highlight w:val="none"/>
                <w:lang w:val="en-US" w:eastAsia="zh-CN"/>
              </w:rPr>
              <w:t>6</w:t>
            </w:r>
            <w:r>
              <w:rPr>
                <w:rFonts w:hint="eastAsia" w:ascii="宋体" w:hAnsi="宋体" w:eastAsia="宋体" w:cs="宋体"/>
                <w:color w:val="000000"/>
                <w:szCs w:val="24"/>
                <w:highlight w:val="none"/>
              </w:rPr>
              <w:t>,000.00元。</w:t>
            </w:r>
          </w:p>
          <w:p>
            <w:pPr>
              <w:pStyle w:val="12"/>
              <w:numPr>
                <w:ilvl w:val="0"/>
                <w:numId w:val="7"/>
              </w:numPr>
              <w:spacing w:line="360" w:lineRule="auto"/>
              <w:ind w:firstLine="0" w:firstLineChars="0"/>
              <w:rPr>
                <w:rFonts w:hint="eastAsia" w:ascii="宋体" w:hAnsi="宋体" w:eastAsia="宋体" w:cs="宋体"/>
                <w:szCs w:val="24"/>
                <w:highlight w:val="none"/>
              </w:rPr>
            </w:pPr>
            <w:r>
              <w:rPr>
                <w:rFonts w:hint="eastAsia" w:ascii="宋体" w:hAnsi="宋体" w:eastAsia="宋体" w:cs="宋体"/>
                <w:color w:val="000000"/>
                <w:szCs w:val="24"/>
                <w:highlight w:val="none"/>
              </w:rPr>
              <w:t>成交供应商</w:t>
            </w:r>
            <w:r>
              <w:rPr>
                <w:rFonts w:hint="eastAsia" w:ascii="宋体" w:hAnsi="宋体" w:eastAsia="宋体" w:cs="宋体"/>
                <w:color w:val="000000"/>
                <w:kern w:val="0"/>
                <w:szCs w:val="24"/>
                <w:highlight w:val="none"/>
              </w:rPr>
              <w:t>须向采购代理机构交纳</w:t>
            </w:r>
            <w:r>
              <w:rPr>
                <w:rFonts w:hint="eastAsia" w:ascii="宋体" w:hAnsi="宋体" w:eastAsia="宋体" w:cs="宋体"/>
                <w:szCs w:val="24"/>
                <w:highlight w:val="none"/>
              </w:rPr>
              <w:t>成交服务费</w:t>
            </w:r>
            <w:r>
              <w:rPr>
                <w:rFonts w:hint="eastAsia" w:ascii="宋体" w:hAnsi="宋体" w:eastAsia="宋体" w:cs="宋体"/>
                <w:color w:val="000000"/>
                <w:kern w:val="0"/>
                <w:szCs w:val="24"/>
                <w:highlight w:val="none"/>
              </w:rPr>
              <w:t>后，凭领取人身份证复印件并加盖公章领取《成交通知书》。如采用电汇或银行转账，须</w:t>
            </w:r>
            <w:r>
              <w:rPr>
                <w:rFonts w:hint="eastAsia" w:ascii="宋体" w:hAnsi="宋体" w:eastAsia="宋体" w:cs="宋体"/>
                <w:szCs w:val="24"/>
                <w:highlight w:val="none"/>
              </w:rPr>
              <w:t>同时递交招标代理服务费缴费凭证复印件并加盖公章。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321" w:type="dxa"/>
            <w:gridSpan w:val="3"/>
            <w:vAlign w:val="center"/>
          </w:tcPr>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注：《磋商邀请函》、《供应商须知前附表》与《供应商须知正文》互为补充、互为说明，若有不一致的，优先以《磋商邀请函》为准，其次以《供应商须知前附表》为准。</w:t>
            </w:r>
          </w:p>
        </w:tc>
      </w:tr>
    </w:tbl>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供应商须知正文</w:t>
      </w: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24"/>
          <w:szCs w:val="24"/>
          <w:highlight w:val="none"/>
        </w:rPr>
      </w:pPr>
      <w:bookmarkStart w:id="17" w:name="_Toc22013"/>
      <w:r>
        <w:rPr>
          <w:rFonts w:hint="eastAsia" w:ascii="宋体" w:hAnsi="宋体" w:eastAsia="宋体" w:cs="宋体"/>
          <w:sz w:val="24"/>
          <w:szCs w:val="24"/>
          <w:highlight w:val="none"/>
        </w:rPr>
        <w:t>一、概念释义</w:t>
      </w:r>
      <w:bookmarkEnd w:id="17"/>
    </w:p>
    <w:p>
      <w:pPr>
        <w:numPr>
          <w:ilvl w:val="0"/>
          <w:numId w:val="8"/>
        </w:numPr>
        <w:snapToGrid w:val="0"/>
        <w:spacing w:line="360" w:lineRule="auto"/>
        <w:rPr>
          <w:rFonts w:hint="eastAsia" w:ascii="宋体" w:hAnsi="宋体" w:eastAsia="宋体" w:cs="宋体"/>
          <w:b/>
          <w:szCs w:val="24"/>
          <w:highlight w:val="none"/>
          <w:lang w:val="en-GB"/>
        </w:rPr>
      </w:pPr>
      <w:bookmarkStart w:id="18" w:name="_Toc136662912"/>
      <w:bookmarkStart w:id="19" w:name="_Toc136682888"/>
      <w:bookmarkStart w:id="20" w:name="_Toc275954883"/>
      <w:bookmarkStart w:id="21" w:name="_Toc119321123"/>
      <w:bookmarkStart w:id="22" w:name="_Toc528736178"/>
      <w:bookmarkStart w:id="23" w:name="_Toc276220255"/>
      <w:bookmarkStart w:id="24" w:name="_Toc332090766"/>
      <w:r>
        <w:rPr>
          <w:rFonts w:hint="eastAsia" w:ascii="宋体" w:hAnsi="宋体" w:eastAsia="宋体" w:cs="宋体"/>
          <w:b/>
          <w:szCs w:val="24"/>
          <w:highlight w:val="none"/>
          <w:lang w:val="en-GB"/>
        </w:rPr>
        <w:t>适用法律</w:t>
      </w:r>
      <w:bookmarkEnd w:id="18"/>
      <w:bookmarkEnd w:id="19"/>
      <w:bookmarkEnd w:id="20"/>
      <w:bookmarkEnd w:id="21"/>
      <w:bookmarkEnd w:id="22"/>
      <w:bookmarkEnd w:id="23"/>
      <w:bookmarkEnd w:id="24"/>
    </w:p>
    <w:p>
      <w:pPr>
        <w:pStyle w:val="12"/>
        <w:spacing w:line="360" w:lineRule="auto"/>
        <w:ind w:firstLine="480"/>
        <w:rPr>
          <w:rFonts w:hint="eastAsia" w:ascii="宋体" w:hAnsi="宋体" w:eastAsia="宋体" w:cs="宋体"/>
          <w:szCs w:val="24"/>
          <w:highlight w:val="none"/>
          <w:lang w:val="en-GB"/>
        </w:rPr>
      </w:pPr>
      <w:r>
        <w:rPr>
          <w:rFonts w:hint="eastAsia" w:ascii="宋体" w:hAnsi="宋体" w:eastAsia="宋体" w:cs="宋体"/>
          <w:szCs w:val="24"/>
          <w:highlight w:val="none"/>
          <w:lang w:val="en-GB"/>
        </w:rPr>
        <w:t>本次采购参照的主要法律法规为《中华人民共和国政府采购法》、《政府采购竞争性磋商采购方式管理暂行办法》及政府采购其它相关法规。</w:t>
      </w:r>
    </w:p>
    <w:p>
      <w:pPr>
        <w:numPr>
          <w:ilvl w:val="0"/>
          <w:numId w:val="8"/>
        </w:numPr>
        <w:snapToGrid w:val="0"/>
        <w:spacing w:line="360" w:lineRule="auto"/>
        <w:rPr>
          <w:rFonts w:hint="eastAsia" w:ascii="宋体" w:hAnsi="宋体" w:eastAsia="宋体" w:cs="宋体"/>
          <w:b/>
          <w:szCs w:val="24"/>
          <w:highlight w:val="none"/>
          <w:lang w:val="en-GB"/>
        </w:rPr>
      </w:pPr>
      <w:bookmarkStart w:id="25" w:name="_Toc275954884"/>
      <w:bookmarkStart w:id="26" w:name="_Toc332090767"/>
      <w:bookmarkStart w:id="27" w:name="_Toc119321124"/>
      <w:bookmarkStart w:id="28" w:name="_Toc528736179"/>
      <w:bookmarkStart w:id="29" w:name="_Toc136682889"/>
      <w:bookmarkStart w:id="30" w:name="_Toc276220256"/>
      <w:bookmarkStart w:id="31" w:name="_Toc136662913"/>
      <w:r>
        <w:rPr>
          <w:rFonts w:hint="eastAsia" w:ascii="宋体" w:hAnsi="宋体" w:eastAsia="宋体" w:cs="宋体"/>
          <w:b/>
          <w:szCs w:val="24"/>
          <w:highlight w:val="none"/>
          <w:lang w:val="en-GB"/>
        </w:rPr>
        <w:t>释义</w:t>
      </w:r>
      <w:bookmarkEnd w:id="25"/>
      <w:bookmarkEnd w:id="26"/>
      <w:bookmarkEnd w:id="27"/>
      <w:bookmarkEnd w:id="28"/>
      <w:bookmarkEnd w:id="29"/>
      <w:bookmarkEnd w:id="30"/>
      <w:bookmarkEnd w:id="31"/>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采购人</w:t>
      </w:r>
      <w:r>
        <w:rPr>
          <w:rFonts w:hint="eastAsia" w:ascii="宋体" w:hAnsi="宋体" w:eastAsia="宋体" w:cs="宋体"/>
          <w:szCs w:val="24"/>
          <w:highlight w:val="none"/>
          <w:lang w:val="en-GB"/>
        </w:rPr>
        <w:t>：是指</w:t>
      </w:r>
      <w:r>
        <w:rPr>
          <w:rFonts w:hint="eastAsia" w:ascii="宋体" w:hAnsi="宋体" w:eastAsia="宋体" w:cs="宋体"/>
          <w:b/>
          <w:szCs w:val="24"/>
          <w:highlight w:val="none"/>
          <w:u w:val="single"/>
        </w:rPr>
        <w:t>佛山市公安局</w:t>
      </w:r>
      <w:r>
        <w:rPr>
          <w:rFonts w:hint="eastAsia" w:ascii="宋体" w:hAnsi="宋体" w:eastAsia="宋体" w:cs="宋体"/>
          <w:szCs w:val="24"/>
          <w:highlight w:val="none"/>
          <w:lang w:val="en-GB"/>
        </w:rPr>
        <w:t>，负责项目的整体规划、技术方案可行性设计论证与实施，作为合同采购方(用户)的主体承担质疑回复、履行合同义务、验收与评价等义务。</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监管部门</w:t>
      </w:r>
      <w:r>
        <w:rPr>
          <w:rFonts w:hint="eastAsia" w:ascii="宋体" w:hAnsi="宋体" w:eastAsia="宋体" w:cs="宋体"/>
          <w:szCs w:val="24"/>
          <w:highlight w:val="none"/>
          <w:lang w:val="en-GB"/>
        </w:rPr>
        <w:t>：是指政府采购管理部门。</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采购代理机构</w:t>
      </w:r>
      <w:r>
        <w:rPr>
          <w:rFonts w:hint="eastAsia" w:ascii="宋体" w:hAnsi="宋体" w:eastAsia="宋体" w:cs="宋体"/>
          <w:szCs w:val="24"/>
          <w:highlight w:val="none"/>
          <w:lang w:val="en-GB"/>
        </w:rPr>
        <w:t>：是指</w:t>
      </w:r>
      <w:r>
        <w:rPr>
          <w:rFonts w:hint="eastAsia" w:ascii="宋体" w:hAnsi="宋体" w:eastAsia="宋体" w:cs="宋体"/>
          <w:b/>
          <w:szCs w:val="24"/>
          <w:highlight w:val="none"/>
          <w:u w:val="single"/>
          <w:lang w:val="en-GB"/>
        </w:rPr>
        <w:t>华睿诚项目管理有限公司</w:t>
      </w:r>
      <w:r>
        <w:rPr>
          <w:rFonts w:hint="eastAsia" w:ascii="宋体" w:hAnsi="宋体" w:eastAsia="宋体" w:cs="宋体"/>
          <w:szCs w:val="24"/>
          <w:highlight w:val="none"/>
          <w:lang w:val="en-GB"/>
        </w:rPr>
        <w:t>，是整个采购活动的组织者，依法负责编制和发布磋商文件，对磋商文件拥有最终的解释权。</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采购单位</w:t>
      </w:r>
      <w:r>
        <w:rPr>
          <w:rFonts w:hint="eastAsia" w:ascii="宋体" w:hAnsi="宋体" w:eastAsia="宋体" w:cs="宋体"/>
          <w:szCs w:val="24"/>
          <w:highlight w:val="none"/>
          <w:lang w:val="en-GB"/>
        </w:rPr>
        <w:t>：是指采购人、采购代理机构。</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以上</w:t>
      </w:r>
      <w:r>
        <w:rPr>
          <w:rFonts w:hint="eastAsia" w:ascii="宋体" w:hAnsi="宋体" w:eastAsia="宋体" w:cs="宋体"/>
          <w:szCs w:val="24"/>
          <w:highlight w:val="none"/>
          <w:lang w:val="en-GB"/>
        </w:rPr>
        <w:t>：是指包括本数。（有特别说明除外）</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以下</w:t>
      </w:r>
      <w:r>
        <w:rPr>
          <w:rFonts w:hint="eastAsia" w:ascii="宋体" w:hAnsi="宋体" w:eastAsia="宋体" w:cs="宋体"/>
          <w:szCs w:val="24"/>
          <w:highlight w:val="none"/>
          <w:lang w:val="en-GB"/>
        </w:rPr>
        <w:t>：是指不包括本数。（有特别说明除外）</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合格的供应商</w:t>
      </w:r>
      <w:r>
        <w:rPr>
          <w:rFonts w:hint="eastAsia" w:ascii="宋体" w:hAnsi="宋体" w:eastAsia="宋体" w:cs="宋体"/>
          <w:szCs w:val="24"/>
          <w:highlight w:val="none"/>
          <w:lang w:val="en-GB"/>
        </w:rPr>
        <w:t>：</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w:t>
      </w:r>
      <w:r>
        <w:rPr>
          <w:rFonts w:hint="eastAsia" w:ascii="宋体" w:hAnsi="宋体" w:eastAsia="宋体" w:cs="宋体"/>
          <w:szCs w:val="24"/>
          <w:highlight w:val="none"/>
          <w:lang w:val="hr-HR"/>
        </w:rPr>
        <w:t>《政府采购法》第二十二条规定的条件</w:t>
      </w:r>
      <w:r>
        <w:rPr>
          <w:rFonts w:hint="eastAsia" w:ascii="宋体" w:hAnsi="宋体" w:eastAsia="宋体" w:cs="宋体"/>
          <w:szCs w:val="24"/>
          <w:highlight w:val="none"/>
          <w:lang w:val="en-GB"/>
        </w:rPr>
        <w:t>及《中华人民共和国政府采购法实施条例》第十七条的要求。</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符合磋商文件规定的“供应商资格”要求及其他特殊条件要求。</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根据《政府采购法》第二十二条的要求，供应商参加政府采购活动应当具备下列条</w:t>
      </w:r>
    </w:p>
    <w:p>
      <w:pPr>
        <w:tabs>
          <w:tab w:val="left" w:pos="540"/>
        </w:tabs>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件：①具有独立承担民事责任的能力；②具有良好的商业信誉和健全的财务会计制度；③具有履行合同所必需的设备和专业技术能力；④具有依法缴纳税收和社会保障资金的良好记录；⑤参加本次政府采购活动前三年内，在经营活动中没有重大违法记录；⑥法律、行政法规规定的其他条件。</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重大违法记录，是指供应商因违法经营受到刑事处罚或者责令停产停业、吊销许可证或者执照、较大数额罚款等行政处罚。对于“较大数额罚款”，法律、行政法规规定、或行政主管部门有相关规定的，按照其规定，没有规定的按照以下约定:根据《广东省行政处罚听证程序实施办法》和《广东省人民政府关于废止和修改部分省政府规章的决定》(广东省人民政府令第251号)，较大数额罚款是指对公民处以5000元以上罚款，对法人或者其他组织处以10万元以上罚款。各级人民政府财政部门依法对供应商作出禁止参加政府采购活动行政处罚决定的，在全国范围内生效。</w:t>
      </w:r>
    </w:p>
    <w:p>
      <w:pPr>
        <w:numPr>
          <w:ilvl w:val="1"/>
          <w:numId w:val="10"/>
        </w:numPr>
        <w:tabs>
          <w:tab w:val="left" w:pos="480"/>
          <w:tab w:val="clear" w:pos="510"/>
        </w:tabs>
        <w:spacing w:line="360" w:lineRule="auto"/>
        <w:ind w:left="470" w:hanging="470"/>
        <w:rPr>
          <w:rFonts w:hint="eastAsia" w:ascii="宋体" w:hAnsi="宋体" w:eastAsia="宋体" w:cs="宋体"/>
          <w:szCs w:val="24"/>
          <w:highlight w:val="none"/>
          <w:lang w:val="en-GB"/>
        </w:rPr>
      </w:pPr>
      <w:r>
        <w:rPr>
          <w:rFonts w:hint="eastAsia" w:ascii="宋体" w:hAnsi="宋体" w:eastAsia="宋体" w:cs="宋体"/>
          <w:szCs w:val="24"/>
          <w:highlight w:val="none"/>
          <w:lang w:val="en-GB"/>
        </w:rPr>
        <w:t>根据佛山市中级人民法院《启用执行联动机制决定书》和《协助执行通知书》的要求，供应商若为名单上的失信被执行人，限制其从事政府采购业务。按照《财政部关于在政府采购活动中查询及使用信用记录有关问题的通知》（财库2016]125 号）的要求，根据信用中国网站、中国政府采购网查询信息，对列入失信被执行人、重大税收违法案件当事人名单、政府采购严重违法失信行为记录名单及其他不符合《中华人民共和国政府采购法》第二十二条规定条件的供应商，拒绝其参与政府采购活动。联合体成员存在不良信用记录的，视同联合体存在不良信用记录。</w:t>
      </w:r>
    </w:p>
    <w:p>
      <w:pPr>
        <w:numPr>
          <w:ilvl w:val="1"/>
          <w:numId w:val="10"/>
        </w:numPr>
        <w:tabs>
          <w:tab w:val="left" w:pos="540"/>
          <w:tab w:val="clear" w:pos="510"/>
        </w:tabs>
        <w:spacing w:line="360" w:lineRule="auto"/>
        <w:ind w:left="470" w:hanging="470"/>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供应商在参加政府采购活动前 3 年内因违法经营被禁止在一定期限内参加政府采购活动，期限届满的，可以参加政府采购活动。按竞争性磋商公告或磋商邀请函的要求报名及获取本项目磋商文件。</w:t>
      </w:r>
    </w:p>
    <w:p>
      <w:pPr>
        <w:numPr>
          <w:ilvl w:val="1"/>
          <w:numId w:val="10"/>
        </w:numPr>
        <w:tabs>
          <w:tab w:val="left" w:pos="0"/>
          <w:tab w:val="left" w:pos="540"/>
          <w:tab w:val="clear" w:pos="510"/>
        </w:tabs>
        <w:spacing w:line="360" w:lineRule="auto"/>
        <w:ind w:left="470" w:hanging="470"/>
        <w:rPr>
          <w:rFonts w:hint="eastAsia" w:ascii="宋体" w:hAnsi="宋体" w:eastAsia="宋体" w:cs="宋体"/>
          <w:szCs w:val="24"/>
          <w:highlight w:val="none"/>
          <w:lang w:val="en-GB"/>
        </w:rPr>
      </w:pPr>
      <w:r>
        <w:rPr>
          <w:rFonts w:hint="eastAsia" w:ascii="宋体" w:hAnsi="宋体" w:eastAsia="宋体" w:cs="宋体"/>
          <w:szCs w:val="24"/>
          <w:highlight w:val="none"/>
          <w:lang w:val="en-GB"/>
        </w:rPr>
        <w:t>说明：供应商按规定获取了本磋商文件并非意味着满足了合格、有效供应商的基本条件，一切均以磋商小组评定确认的结果为准。</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b/>
          <w:bCs/>
          <w:szCs w:val="24"/>
          <w:highlight w:val="none"/>
          <w:lang w:val="en-GB"/>
        </w:rPr>
        <w:t>成交供应商：</w:t>
      </w:r>
      <w:r>
        <w:rPr>
          <w:rFonts w:hint="eastAsia" w:ascii="宋体" w:hAnsi="宋体" w:eastAsia="宋体" w:cs="宋体"/>
          <w:szCs w:val="24"/>
          <w:highlight w:val="none"/>
          <w:lang w:val="en-GB"/>
        </w:rPr>
        <w:t>是指经法定程序确定并授予合同的供应商。</w:t>
      </w:r>
    </w:p>
    <w:p>
      <w:pPr>
        <w:numPr>
          <w:ilvl w:val="0"/>
          <w:numId w:val="9"/>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实质性响应</w:t>
      </w:r>
      <w:r>
        <w:rPr>
          <w:rFonts w:hint="eastAsia" w:ascii="宋体" w:hAnsi="宋体" w:eastAsia="宋体" w:cs="宋体"/>
          <w:szCs w:val="24"/>
          <w:highlight w:val="none"/>
          <w:lang w:val="en-GB"/>
        </w:rPr>
        <w:t>：是指符合磋商文件的所有要求、条款、条件和规定，且没有不利于项目实施质量效果和服务保障的重大偏离。磋商文件中标注“★”号的条款（如有）为不可负偏离（劣于）的重要要求，在投标响应时须完全响应，若其中一项出现负偏离时将作无效投标/响应处理。</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重大偏离</w:t>
      </w:r>
      <w:r>
        <w:rPr>
          <w:rFonts w:hint="eastAsia" w:ascii="宋体" w:hAnsi="宋体" w:eastAsia="宋体" w:cs="宋体"/>
          <w:szCs w:val="24"/>
          <w:highlight w:val="none"/>
          <w:lang w:val="en-GB"/>
        </w:rPr>
        <w:t>：是指影响到磋商文件规定的范围、质量和性能或限制了采购人的权力和供应商义务的规定，而调整纠正这些偏离将直接影响到其它供应商的公平竞争地位。</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中小企业：</w:t>
      </w:r>
      <w:r>
        <w:rPr>
          <w:rFonts w:hint="eastAsia" w:ascii="宋体" w:hAnsi="宋体" w:eastAsia="宋体" w:cs="宋体"/>
          <w:szCs w:val="24"/>
          <w:highlight w:val="none"/>
          <w:lang w:val="en-GB"/>
        </w:rPr>
        <w:t>依据《</w:t>
      </w:r>
      <w:r>
        <w:rPr>
          <w:rFonts w:hint="eastAsia" w:ascii="宋体" w:hAnsi="宋体" w:eastAsia="宋体" w:cs="宋体"/>
          <w:szCs w:val="24"/>
          <w:highlight w:val="none"/>
          <w:lang w:val="en-GB" w:eastAsia="zh-CN"/>
        </w:rPr>
        <w:t>政府采购促进中小企业发展管理办法</w:t>
      </w:r>
      <w:r>
        <w:rPr>
          <w:rFonts w:hint="eastAsia" w:ascii="宋体" w:hAnsi="宋体" w:eastAsia="宋体" w:cs="宋体"/>
          <w:szCs w:val="24"/>
          <w:highlight w:val="none"/>
          <w:lang w:val="en-GB"/>
        </w:rPr>
        <w:t>》（</w:t>
      </w:r>
      <w:r>
        <w:rPr>
          <w:rFonts w:hint="eastAsia" w:ascii="宋体" w:hAnsi="宋体" w:eastAsia="宋体" w:cs="宋体"/>
          <w:szCs w:val="24"/>
          <w:highlight w:val="none"/>
          <w:lang w:val="en-GB" w:eastAsia="zh-CN"/>
        </w:rPr>
        <w:t>财库〔2020〕46号</w:t>
      </w:r>
      <w:r>
        <w:rPr>
          <w:rFonts w:hint="eastAsia" w:ascii="宋体" w:hAnsi="宋体" w:eastAsia="宋体" w:cs="宋体"/>
          <w:szCs w:val="24"/>
          <w:highlight w:val="none"/>
          <w:lang w:val="en-GB"/>
        </w:rPr>
        <w:t>），包含中型、小型、微型企业，具体标准依据工信部联企业〔2011〕300号文件进行划分。</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日期、天数、时间：未有特别说明时，均为公历日（天）及北京时间。</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计息期</w:t>
      </w:r>
      <w:r>
        <w:rPr>
          <w:rFonts w:hint="eastAsia" w:ascii="宋体" w:hAnsi="宋体" w:eastAsia="宋体" w:cs="宋体"/>
          <w:szCs w:val="24"/>
          <w:highlight w:val="none"/>
          <w:lang w:val="en-GB"/>
        </w:rPr>
        <w:t>：项目周期内均不计息。（有特别说明除外）</w:t>
      </w:r>
    </w:p>
    <w:p>
      <w:pPr>
        <w:numPr>
          <w:ilvl w:val="0"/>
          <w:numId w:val="8"/>
        </w:numPr>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同义词语</w:t>
      </w:r>
    </w:p>
    <w:p>
      <w:pPr>
        <w:snapToGrid w:val="0"/>
        <w:spacing w:line="360" w:lineRule="auto"/>
        <w:ind w:left="510"/>
        <w:rPr>
          <w:rFonts w:hint="eastAsia" w:ascii="宋体" w:hAnsi="宋体" w:eastAsia="宋体" w:cs="宋体"/>
          <w:b/>
          <w:szCs w:val="24"/>
          <w:highlight w:val="none"/>
          <w:lang w:val="en-GB"/>
        </w:rPr>
      </w:pPr>
      <w:r>
        <w:rPr>
          <w:rFonts w:hint="eastAsia" w:ascii="宋体" w:hAnsi="宋体" w:eastAsia="宋体" w:cs="宋体"/>
          <w:szCs w:val="24"/>
          <w:highlight w:val="none"/>
          <w:lang w:val="en-GB"/>
        </w:rPr>
        <w:t>以下词语应按相同定义进行理解：</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“磋商文件”、“竞争性磋商文件”与“采购文件”；</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“投标文件”与“响应文件”、“磋商响应文件”；</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招标阶段的“招标人”、“采购人”、“招标单位”、“采购单位”及合同签订阶段的“甲方”、“买方”、“发包人”；</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招标阶段的“投标人”、“供应商”及合同签订阶段的“乙方”、“卖方”、“承包人”；</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招标阶段的“</w:t>
      </w:r>
      <w:r>
        <w:rPr>
          <w:rFonts w:hint="eastAsia" w:ascii="宋体" w:hAnsi="宋体" w:eastAsia="宋体" w:cs="宋体"/>
          <w:szCs w:val="24"/>
          <w:highlight w:val="none"/>
          <w:lang w:val="en-GB" w:eastAsia="zh-CN"/>
        </w:rPr>
        <w:t>成交供应商</w:t>
      </w:r>
      <w:r>
        <w:rPr>
          <w:rFonts w:hint="eastAsia" w:ascii="宋体" w:hAnsi="宋体" w:eastAsia="宋体" w:cs="宋体"/>
          <w:szCs w:val="24"/>
          <w:highlight w:val="none"/>
          <w:lang w:val="en-GB"/>
        </w:rPr>
        <w:t>”、“成交供应商”、“成交人”、“供应商”及合同签订阶段的“乙方”、“卖方”、“承包人”；</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“磋商小组”与“竞争性磋商小组”。</w:t>
      </w:r>
    </w:p>
    <w:p>
      <w:pPr>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32" w:name="_Toc15067"/>
      <w:r>
        <w:rPr>
          <w:rFonts w:hint="eastAsia" w:ascii="宋体" w:hAnsi="宋体" w:eastAsia="宋体" w:cs="宋体"/>
          <w:sz w:val="24"/>
          <w:szCs w:val="24"/>
          <w:highlight w:val="none"/>
        </w:rPr>
        <w:t>二、磋商文件的说明</w:t>
      </w:r>
      <w:bookmarkEnd w:id="32"/>
    </w:p>
    <w:p>
      <w:pPr>
        <w:numPr>
          <w:ilvl w:val="0"/>
          <w:numId w:val="12"/>
        </w:numPr>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磋商文件的构成</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磋商文件由下列文件组成：①磋商邀请函（或竞争性磋商公告）；②采购项目内容；③供应商须知；④合同书范本；⑤响应文件格式；⑥</w:t>
      </w:r>
      <w:r>
        <w:rPr>
          <w:rFonts w:hint="eastAsia" w:ascii="宋体" w:hAnsi="宋体" w:eastAsia="宋体" w:cs="宋体"/>
          <w:szCs w:val="24"/>
          <w:highlight w:val="none"/>
        </w:rPr>
        <w:t>在招标采购过程中由招标采购单位发出的修正和补充文件、答复文件等。</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认真阅读并充分理解磋商文件的全部内容（包括所有的补充、修改内容、重要事项、格式、条款和技术规范、参数及要求等）。供应商没有按照磋商文件要求提交全部资料，或者投标/响应没有对磋商文件在各方面都做出实质性响应是供应商的风险，有可能导致其投标/响应被拒绝，或被认定为无效投标/响应或被确定为投标/响应无效。</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磋商文件采用电子文档和纸质盖章文件形式制作，两种介质不一致时以纸质盖章文件为准。</w:t>
      </w:r>
    </w:p>
    <w:p>
      <w:pPr>
        <w:numPr>
          <w:ilvl w:val="1"/>
          <w:numId w:val="12"/>
        </w:numPr>
        <w:tabs>
          <w:tab w:val="left" w:pos="540"/>
        </w:tabs>
        <w:snapToGrid w:val="0"/>
        <w:spacing w:line="360" w:lineRule="auto"/>
        <w:rPr>
          <w:rFonts w:hint="eastAsia" w:ascii="宋体" w:hAnsi="宋体" w:eastAsia="宋体" w:cs="宋体"/>
          <w:szCs w:val="24"/>
          <w:highlight w:val="none"/>
          <w:lang w:val="en-GB"/>
        </w:rPr>
      </w:pPr>
      <w:bookmarkStart w:id="33" w:name="_Toc55812447"/>
      <w:bookmarkStart w:id="34" w:name="_Toc49329256"/>
      <w:r>
        <w:rPr>
          <w:rFonts w:hint="eastAsia" w:ascii="宋体" w:hAnsi="宋体" w:eastAsia="宋体" w:cs="宋体"/>
          <w:szCs w:val="24"/>
          <w:highlight w:val="none"/>
          <w:lang w:val="en-GB"/>
        </w:rPr>
        <w:t>磋商文件的采购技术要求内容与法律法规有冲突的，解释处理顺序为：①以官方强制性要求或行业标准规范为准；②以本磋商文件约定的技术要求为准。</w:t>
      </w:r>
    </w:p>
    <w:p>
      <w:pPr>
        <w:numPr>
          <w:ilvl w:val="0"/>
          <w:numId w:val="12"/>
        </w:numPr>
        <w:tabs>
          <w:tab w:val="left" w:pos="540"/>
        </w:tabs>
        <w:snapToGrid w:val="0"/>
        <w:spacing w:line="360" w:lineRule="auto"/>
        <w:rPr>
          <w:rFonts w:hint="eastAsia" w:ascii="宋体" w:hAnsi="宋体" w:eastAsia="宋体" w:cs="宋体"/>
          <w:b/>
          <w:szCs w:val="24"/>
          <w:highlight w:val="none"/>
          <w:lang w:val="en-GB"/>
        </w:rPr>
      </w:pPr>
      <w:bookmarkStart w:id="35" w:name="_Toc113157423"/>
      <w:bookmarkStart w:id="36" w:name="_Toc275954887"/>
      <w:bookmarkStart w:id="37" w:name="_Toc276220259"/>
      <w:bookmarkStart w:id="38" w:name="_Toc276220240"/>
      <w:r>
        <w:rPr>
          <w:rFonts w:hint="eastAsia" w:ascii="宋体" w:hAnsi="宋体" w:eastAsia="宋体" w:cs="宋体"/>
          <w:b/>
          <w:szCs w:val="24"/>
          <w:highlight w:val="none"/>
          <w:lang w:val="en-GB"/>
        </w:rPr>
        <w:t>磋商文件的澄清</w:t>
      </w:r>
      <w:bookmarkEnd w:id="33"/>
      <w:bookmarkEnd w:id="34"/>
      <w:bookmarkEnd w:id="35"/>
      <w:bookmarkEnd w:id="36"/>
      <w:bookmarkEnd w:id="37"/>
      <w:bookmarkEnd w:id="38"/>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任何要求对磋商文件进行澄清的供应商，均应以书面形式在提交响应文件截止时间</w:t>
      </w:r>
      <w:r>
        <w:rPr>
          <w:rFonts w:hint="eastAsia" w:ascii="宋体" w:hAnsi="宋体" w:eastAsia="宋体" w:cs="宋体"/>
          <w:b/>
          <w:szCs w:val="24"/>
          <w:highlight w:val="none"/>
        </w:rPr>
        <w:t>5个工作</w:t>
      </w:r>
      <w:r>
        <w:rPr>
          <w:rFonts w:hint="eastAsia" w:ascii="宋体" w:hAnsi="宋体" w:eastAsia="宋体" w:cs="宋体"/>
          <w:b/>
          <w:szCs w:val="24"/>
          <w:highlight w:val="none"/>
          <w:lang w:val="en-GB"/>
        </w:rPr>
        <w:t>日</w:t>
      </w:r>
      <w:r>
        <w:rPr>
          <w:rFonts w:hint="eastAsia" w:ascii="宋体" w:hAnsi="宋体" w:eastAsia="宋体" w:cs="宋体"/>
          <w:szCs w:val="24"/>
          <w:highlight w:val="none"/>
          <w:lang w:val="en-GB"/>
        </w:rPr>
        <w:t>以前通知采购代理机构。采购代理机构将组织采购人对供应商所要求澄清的内容均以书面形式予以答复。</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供应商在规定的时间内未对磋商文件澄清或提出疑问的，采购代理机构将视其为无异议。对磋商文件中描述有歧义或前后不一致的地方，磋商小组有权进行评判，但对同一条款的评判应适用于每个供应商。</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供应商在收到采购代理机构答复后，应于</w:t>
      </w:r>
      <w:r>
        <w:rPr>
          <w:rFonts w:hint="eastAsia" w:ascii="宋体" w:hAnsi="宋体" w:eastAsia="宋体" w:cs="宋体"/>
          <w:b/>
          <w:szCs w:val="24"/>
          <w:highlight w:val="none"/>
          <w:lang w:val="en-GB"/>
        </w:rPr>
        <w:t>24小时</w:t>
      </w:r>
      <w:r>
        <w:rPr>
          <w:rFonts w:hint="eastAsia" w:ascii="宋体" w:hAnsi="宋体" w:eastAsia="宋体" w:cs="宋体"/>
          <w:szCs w:val="24"/>
          <w:highlight w:val="none"/>
          <w:lang w:val="en-GB"/>
        </w:rPr>
        <w:t>内，在澄清（答疑、答复）文件盖章页加盖单位公章，并将该文件传真或邮件发给采购代理机构以确认答复。逾期未能确认答复的，视为已收到和确认该澄清（答疑、答复）文件。</w:t>
      </w:r>
    </w:p>
    <w:p>
      <w:pPr>
        <w:numPr>
          <w:ilvl w:val="0"/>
          <w:numId w:val="1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磋商文件的修改</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提交首次响应文件截止时间前，招标采购单位可以对已发出的磋商文件进行必要的澄清或者修改，澄清或者修改的内容作为磋商文件的组成部分。澄清或者修改的内容可能影响响应文件编制的，招标采购单位应当在提交首次响应文件截止时间至少</w:t>
      </w:r>
      <w:r>
        <w:rPr>
          <w:rFonts w:hint="eastAsia" w:ascii="宋体" w:hAnsi="宋体" w:eastAsia="宋体" w:cs="宋体"/>
          <w:b/>
          <w:szCs w:val="24"/>
          <w:highlight w:val="none"/>
          <w:lang w:val="en-GB"/>
        </w:rPr>
        <w:t>5日</w:t>
      </w:r>
      <w:r>
        <w:rPr>
          <w:rFonts w:hint="eastAsia" w:ascii="宋体" w:hAnsi="宋体" w:eastAsia="宋体" w:cs="宋体"/>
          <w:szCs w:val="24"/>
          <w:highlight w:val="none"/>
          <w:lang w:val="en-GB"/>
        </w:rPr>
        <w:t>前，以书面形式通知所有获取磋商文件的供应商；不足</w:t>
      </w:r>
      <w:r>
        <w:rPr>
          <w:rFonts w:hint="eastAsia" w:ascii="宋体" w:hAnsi="宋体" w:eastAsia="宋体" w:cs="宋体"/>
          <w:b/>
          <w:szCs w:val="24"/>
          <w:highlight w:val="none"/>
          <w:lang w:val="en-GB"/>
        </w:rPr>
        <w:t>5日</w:t>
      </w:r>
      <w:r>
        <w:rPr>
          <w:rFonts w:hint="eastAsia" w:ascii="宋体" w:hAnsi="宋体" w:eastAsia="宋体" w:cs="宋体"/>
          <w:szCs w:val="24"/>
          <w:highlight w:val="none"/>
          <w:lang w:val="en-GB"/>
        </w:rPr>
        <w:t>的，招标采购单位应当顺延提交首次响应文件截止时间。</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修改后的内容是磋商文件的组成部分，将以书面形式通知所有购买磋商文件的潜在供应商，并对潜在供应商具有约束力。供应商在收到通知后，应于24小时内，在修改文件盖章页加盖单位公章，并将该文件传真或邮件发给采购代理机构以确认答复。逾期没有确认答复的，将视为已收到和确认该修改文件。</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为使供应商准备投标/响应时有充分时间对磋商文件的修改部分进行研究分析，在磋商文件要求提交响应文件的截止时间</w:t>
      </w:r>
      <w:r>
        <w:rPr>
          <w:rFonts w:hint="eastAsia" w:ascii="宋体" w:hAnsi="宋体" w:eastAsia="宋体" w:cs="宋体"/>
          <w:b/>
          <w:szCs w:val="24"/>
          <w:highlight w:val="none"/>
          <w:lang w:val="en-GB"/>
        </w:rPr>
        <w:t>3日</w:t>
      </w:r>
      <w:r>
        <w:rPr>
          <w:rFonts w:hint="eastAsia" w:ascii="宋体" w:hAnsi="宋体" w:eastAsia="宋体" w:cs="宋体"/>
          <w:szCs w:val="24"/>
          <w:highlight w:val="none"/>
          <w:lang w:val="en-GB"/>
        </w:rPr>
        <w:t>前，招标采购单位可以视采购具体情况适当推迟提交响应文件截止时间和开标时间，并将变更时间书面通知所有磋商文件收受人。</w:t>
      </w:r>
    </w:p>
    <w:p>
      <w:pPr>
        <w:numPr>
          <w:ilvl w:val="0"/>
          <w:numId w:val="12"/>
        </w:numPr>
        <w:tabs>
          <w:tab w:val="left" w:pos="540"/>
        </w:tabs>
        <w:snapToGrid w:val="0"/>
        <w:spacing w:line="360" w:lineRule="auto"/>
        <w:ind w:left="540" w:hanging="540"/>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其他情形</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本项目不举行答疑会，不组织踏勘现场。供应商踏勘现场的费用、责任及风险均自行承担。</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采购代理机构在磋商文件的澄清或修改期间，对供应商联系信息均以报名时填报的信息为依据。</w:t>
      </w:r>
    </w:p>
    <w:p>
      <w:pPr>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39" w:name="_Toc4590"/>
      <w:r>
        <w:rPr>
          <w:rFonts w:hint="eastAsia" w:ascii="宋体" w:hAnsi="宋体" w:eastAsia="宋体" w:cs="宋体"/>
          <w:sz w:val="24"/>
          <w:szCs w:val="24"/>
          <w:highlight w:val="none"/>
        </w:rPr>
        <w:t>三、响应文件的说明</w:t>
      </w:r>
      <w:bookmarkEnd w:id="39"/>
    </w:p>
    <w:p>
      <w:pPr>
        <w:numPr>
          <w:ilvl w:val="0"/>
          <w:numId w:val="13"/>
        </w:numPr>
        <w:tabs>
          <w:tab w:val="left" w:pos="540"/>
        </w:tabs>
        <w:snapToGrid w:val="0"/>
        <w:spacing w:line="360" w:lineRule="auto"/>
        <w:rPr>
          <w:rFonts w:hint="eastAsia" w:ascii="宋体" w:hAnsi="宋体" w:eastAsia="宋体" w:cs="宋体"/>
          <w:b/>
          <w:szCs w:val="24"/>
          <w:highlight w:val="none"/>
          <w:lang w:val="en-GB"/>
        </w:rPr>
      </w:pPr>
      <w:bookmarkStart w:id="40" w:name="_Toc20564611"/>
      <w:bookmarkStart w:id="41" w:name="_Toc528736183"/>
      <w:bookmarkStart w:id="42" w:name="_Toc136662917"/>
      <w:bookmarkStart w:id="43" w:name="_Toc276220260"/>
      <w:bookmarkStart w:id="44" w:name="_Toc119321128"/>
      <w:bookmarkStart w:id="45" w:name="_Toc5575604"/>
      <w:bookmarkStart w:id="46" w:name="_Toc5578667"/>
      <w:bookmarkStart w:id="47" w:name="_Toc275954888"/>
      <w:bookmarkStart w:id="48" w:name="_Toc20571357"/>
      <w:bookmarkStart w:id="49" w:name="_Toc136682893"/>
      <w:bookmarkStart w:id="50" w:name="_Toc20564523"/>
      <w:bookmarkStart w:id="51" w:name="_Toc20144977"/>
      <w:bookmarkStart w:id="52" w:name="_Toc332090771"/>
      <w:r>
        <w:rPr>
          <w:rFonts w:hint="eastAsia" w:ascii="宋体" w:hAnsi="宋体" w:eastAsia="宋体" w:cs="宋体"/>
          <w:b/>
          <w:szCs w:val="24"/>
          <w:highlight w:val="none"/>
          <w:lang w:val="en-GB"/>
        </w:rPr>
        <w:t>投标/响应的语言</w:t>
      </w:r>
    </w:p>
    <w:p>
      <w:pPr>
        <w:numPr>
          <w:ilvl w:val="0"/>
          <w:numId w:val="1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提交的响应文件以及供应商与采购代理机构就有关投标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响应文件的构成应符合法律法规及磋商文件的要求。</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响应文件编制</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响应文件应按“第五部分 响应文件格式”的要求以A4版面编制（图纸可以用A3版面编制，折叠成A4尺寸）进行编写，并逐页编排不间断的连续页码。</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响应文件自制部分必须打印，每份内页须按序加注页码。如有必要，可以增加附页，作为响应文件的组成部分。</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响应文件所使用的公章必须与供应商名称一致，不能以其它业务章或附属机构章代替。</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供应商对磋商文件中多个包（组）进行投标的，其响应文件的编制应按每个包（组）的要求分别装订和封装。</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供应商应当对响应文件进行装订，装订应牢固可靠，对未经装订或因装订不牢固的响应文件可能发生的文件散落或缺损，由此产生的后果由供应商承担。</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任何行间插字、涂改和增删，必须由供应商法定代表人或全权代表在旁边签字或加盖供应商公章后方为有效。</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供应商应完整、真实、准确的填写磋商文件中规定的所有内容。</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必须对响应文件所提供的全部资料的真实性承担法律责任，并无条件接受采购代理机构及政府采购监督管理部门等对其中任何资料进行核实的要求。供应商必须对响应文件所提供的全部资料的真实性承担法律责任。供应商应保证提交的资料合法真实且准确有效，如发现自身资料被盗用或复制，应遵循法律途径解决，追究侵权者责任。</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如果因为供应商响应文件填报的内容不详，或没有提供磋商文件中所要求的全部资料及数据，由此造成的后果，其责任由供应商承担。</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磋商报价</w:t>
      </w:r>
    </w:p>
    <w:p>
      <w:pPr>
        <w:numPr>
          <w:ilvl w:val="0"/>
          <w:numId w:val="1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供应商所提供的服务均应以人民币报价，若同时以人民币及外币报价的，以人民币报价为准。</w:t>
      </w:r>
    </w:p>
    <w:p>
      <w:pPr>
        <w:numPr>
          <w:ilvl w:val="0"/>
          <w:numId w:val="1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供应商应按照“第二部分 采购项目内容”规定的内容、责任范围以及合同条款进行报价。并按《报价一览表》和《磋商报价汇总表》确定的格式报出分项价格和总价。投标总价中不得包含磋商文件要求以外的内容，否则，在评标时不予核减。投标总价中也不得缺漏磋商文件所要求的内容，否则，其投标时视为已将缺漏内容包含在投标总价中。</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备选方案</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只允许供应商有一个投标方案，否则将被视为无效投标/响应。（磋商文件允许有备选方案的除外）</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联合体投标/响应（在“</w:t>
      </w:r>
      <w:r>
        <w:rPr>
          <w:rFonts w:hint="eastAsia" w:ascii="宋体" w:hAnsi="宋体" w:eastAsia="宋体" w:cs="宋体"/>
          <w:b/>
          <w:szCs w:val="24"/>
          <w:highlight w:val="none"/>
        </w:rPr>
        <w:t>供应商资格”允许的情况下执行</w:t>
      </w:r>
      <w:r>
        <w:rPr>
          <w:rFonts w:hint="eastAsia" w:ascii="宋体" w:hAnsi="宋体" w:eastAsia="宋体" w:cs="宋体"/>
          <w:b/>
          <w:szCs w:val="24"/>
          <w:highlight w:val="none"/>
          <w:lang w:val="en-GB"/>
        </w:rPr>
        <w:t>）</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组成联合体投标/响应的按政府采购的法律、法规、规章等有关规定执行。</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基本如下：联合体各方均须符合政府采购法规相关条件。采购人根据采购项目的特殊要求规定供应商特定条件的，联合体中至少应当有一方符合采购人规定的特定条件。由同一资质条件的供应商组成的联合体，按照资质等级较低的供应商确定联合体的资质等级。联合体的任何一方在参与本次投标中，不得再以独立体名义或在其它联合体中重复出现。</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磋商保证金：本项目不收取磋商保证金。</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投标有效期</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投标有效期：详见《供应商须知前附表》。</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供应商的响应文件应在投标有效期内保持有效。投标有效期不足的将被视为实质性不响应磋商文件要求。</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投标有效期内，响应文件的一切内容和补充承诺均为持续有效且不予改变。</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特殊情况下，在原投标有效期截止之前，采购人可要求供应商同意延长其投标有效期。这种要求和答复均应以书面形式提供。供应商可拒绝或同意采购人的这种要求。接受延长投标有效期的供应商将不会被要求和允许修正其投标。</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投标有效期比规定时间短的将被视为非响应性投标而予以拒绝。</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响应文件的数量和签署</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供应商应编制响应文件资料，响应文件数量详见《供应商须知前附表》。</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的正本需打印或用不褪色墨水书写，磋商文件提供的响应文件格式中规定要求签字、盖章的地方均须由供应商的相应人员签名或签章、加盖供应商公章（不得使用其他代章）。授权代表须出具书面授权证明，其《供应商授权书》应附在响应文件中。</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若副本存在缺漏页、无签字或盖章页，不作为无效投标/响应条件。</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响应文件中的任何重要的插字、涂改和增删，必须由法定代表人或经其正式授权的代表在旁边签章或签字才有效。</w:t>
      </w:r>
    </w:p>
    <w:p>
      <w:pPr>
        <w:tabs>
          <w:tab w:val="left" w:pos="540"/>
        </w:tabs>
        <w:snapToGrid w:val="0"/>
        <w:spacing w:line="360" w:lineRule="auto"/>
        <w:rPr>
          <w:rFonts w:hint="eastAsia" w:ascii="宋体" w:hAnsi="宋体" w:eastAsia="宋体" w:cs="宋体"/>
          <w:b/>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53" w:name="_Toc15901"/>
      <w:r>
        <w:rPr>
          <w:rFonts w:hint="eastAsia" w:ascii="宋体" w:hAnsi="宋体" w:eastAsia="宋体" w:cs="宋体"/>
          <w:sz w:val="24"/>
          <w:szCs w:val="24"/>
          <w:highlight w:val="none"/>
        </w:rPr>
        <w:t>四、响应文件的递交</w:t>
      </w:r>
      <w:bookmarkEnd w:id="53"/>
    </w:p>
    <w:p>
      <w:pPr>
        <w:numPr>
          <w:ilvl w:val="0"/>
          <w:numId w:val="19"/>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响应文件的密封、标记和递交</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须按磋商文件《磋商邀请函》及竞争性磋商公告规定的时间、地点递交响应文件，逾期送达或者未送达指定地点的响应文件，为无效响应文件，采购代理机构将拒收。若时间地点已按法定程序变更，则以变更后的时间地点为准。</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供应商须以密封包装形式当面现场递交，拒绝接受邮寄、电报或电话传真形式递交的响应文件。</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将响应文件密封包装，响应文件密封包包含内容、报价信封密封包包含内容详见《供应商须知前附表》。文件密封完毕并在外包装上清晰标明“正本”、“副本”字样。信封或外包装上应当注明采购项目名称、采购项目编号和“在（提交响应文件截止时间）之前不得启封”的字样，封口处应加盖供应商公章。格式详见“第五部分 响应文件格式 文件包装袋封面标贴格式”。</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如果未按要求密封和标记，对因错放或密封不牢靠而造成的提前开封的响应文件将予以拒绝，并退还给供应商，招标采购单位不承担由此造成的响应文件提前开封的责任。</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供应商在递交响应文件时，须同时递交电子文档。电子文档要求：详见《供应商须知前附表》。</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供应商所提交的响应文件在评标结束后，无论中标/成交与否均不予退还。</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供应商自行承担因参加本次投标/响应而发生的一切费用，招标采购单位对供应商及其他当事人不承担任何形式的赔偿或补偿。</w:t>
      </w:r>
    </w:p>
    <w:p>
      <w:pPr>
        <w:numPr>
          <w:ilvl w:val="0"/>
          <w:numId w:val="19"/>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响应文件的修改和撤回</w:t>
      </w:r>
    </w:p>
    <w:p>
      <w:pPr>
        <w:numPr>
          <w:ilvl w:val="0"/>
          <w:numId w:val="2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提交响应文件截止时间前，可以对所递交的响应文件进行补充、修改或者撤回，并书面通知招标采购单位。补充、修改的内容应当按磋商文件要求签署、盖章，并作为响应文件的组成部分。补充、修改的内容与响应文件不一致的，以补充、修改的内容为准。在提交响应文件截止时间之后，供应商不得对其响应文件做任何修改和补充。</w:t>
      </w:r>
    </w:p>
    <w:p>
      <w:pPr>
        <w:numPr>
          <w:ilvl w:val="0"/>
          <w:numId w:val="2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供应商在递交响应文件后，可以撤回其投标/响应，但供应商必须在规定的提交响应文件截止时间前以书面形式告知采购代理机构。</w:t>
      </w:r>
      <w:bookmarkEnd w:id="40"/>
      <w:bookmarkEnd w:id="41"/>
      <w:bookmarkEnd w:id="42"/>
      <w:bookmarkEnd w:id="43"/>
      <w:bookmarkEnd w:id="44"/>
      <w:bookmarkEnd w:id="45"/>
      <w:bookmarkEnd w:id="46"/>
      <w:bookmarkEnd w:id="47"/>
      <w:bookmarkEnd w:id="48"/>
      <w:bookmarkEnd w:id="49"/>
      <w:bookmarkEnd w:id="50"/>
      <w:bookmarkEnd w:id="51"/>
      <w:bookmarkEnd w:id="52"/>
    </w:p>
    <w:p>
      <w:pPr>
        <w:numPr>
          <w:ilvl w:val="0"/>
          <w:numId w:val="19"/>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其他</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的授权代表须携带本人身份证，准时亲自递交合规格的密封响应文件，对在指定时间外交付的任何文件，采购代理机构将拒绝接受。对于已接收受理的响应文件，采购代理机构一概不予退回。授权代表应听从招标采购单位的安排轮侯出席磋商，其现场所签署确认的文件均代表供应商的真实意愿和决定，并作为响应文件的补充内容具有不可撤消更改的法律效力。</w:t>
      </w:r>
    </w:p>
    <w:p>
      <w:pPr>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54" w:name="_Toc7692"/>
      <w:r>
        <w:rPr>
          <w:rFonts w:hint="eastAsia" w:ascii="宋体" w:hAnsi="宋体" w:eastAsia="宋体" w:cs="宋体"/>
          <w:sz w:val="24"/>
          <w:szCs w:val="24"/>
          <w:highlight w:val="none"/>
        </w:rPr>
        <w:t>五、开标及评审程序</w:t>
      </w:r>
      <w:bookmarkEnd w:id="54"/>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55" w:name="_Toc276220266"/>
      <w:bookmarkStart w:id="56" w:name="_Toc332090776"/>
      <w:bookmarkStart w:id="57" w:name="_Toc528736189"/>
      <w:bookmarkStart w:id="58" w:name="_Toc119321134"/>
      <w:bookmarkStart w:id="59" w:name="_Toc136682899"/>
      <w:bookmarkStart w:id="60" w:name="_Toc136662923"/>
      <w:bookmarkStart w:id="61" w:name="_Toc275954894"/>
      <w:r>
        <w:rPr>
          <w:rFonts w:hint="eastAsia" w:ascii="宋体" w:hAnsi="宋体" w:eastAsia="宋体" w:cs="宋体"/>
          <w:b/>
          <w:szCs w:val="24"/>
          <w:highlight w:val="none"/>
          <w:lang w:val="en-GB"/>
        </w:rPr>
        <w:t>开标会</w:t>
      </w:r>
      <w:bookmarkEnd w:id="55"/>
      <w:bookmarkEnd w:id="56"/>
      <w:bookmarkEnd w:id="57"/>
      <w:bookmarkEnd w:id="58"/>
      <w:bookmarkEnd w:id="59"/>
      <w:bookmarkEnd w:id="60"/>
      <w:bookmarkEnd w:id="61"/>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采购代理机构按磋商文件约定的时间和地点组织开标，供应商须派员出席开标会全过程，否则视为接受开标结果。</w:t>
      </w:r>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宣布递交响应文件时间截止后，采购代理机构将不再接收任何响应文件。</w:t>
      </w:r>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评审前，由递交响应文件顺序的前</w:t>
      </w:r>
      <w:r>
        <w:rPr>
          <w:rFonts w:hint="eastAsia" w:ascii="宋体" w:hAnsi="宋体" w:cs="宋体"/>
          <w:szCs w:val="24"/>
          <w:highlight w:val="none"/>
          <w:lang w:val="en-GB" w:eastAsia="zh-CN"/>
        </w:rPr>
        <w:t>两</w:t>
      </w:r>
      <w:r>
        <w:rPr>
          <w:rFonts w:hint="eastAsia" w:ascii="宋体" w:hAnsi="宋体" w:eastAsia="宋体" w:cs="宋体"/>
          <w:szCs w:val="24"/>
          <w:highlight w:val="none"/>
          <w:lang w:val="en-GB"/>
        </w:rPr>
        <w:t>名供应商代表全体供应商对全部响应文件的密封情况进行当众检查，经检查未按要求密封的响应文件不予启封并现场退还。评审前的开标会，不唱读各供应商的首次报价。</w:t>
      </w:r>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当</w:t>
      </w:r>
      <w:r>
        <w:rPr>
          <w:rFonts w:hint="eastAsia" w:ascii="宋体" w:hAnsi="宋体" w:eastAsia="宋体" w:cs="宋体"/>
          <w:szCs w:val="24"/>
          <w:highlight w:val="none"/>
        </w:rPr>
        <w:t>提交响应文件截止时间</w:t>
      </w:r>
      <w:r>
        <w:rPr>
          <w:rFonts w:hint="eastAsia" w:ascii="宋体" w:hAnsi="宋体" w:eastAsia="宋体" w:cs="宋体"/>
          <w:szCs w:val="24"/>
          <w:highlight w:val="none"/>
          <w:lang w:val="en-GB"/>
        </w:rPr>
        <w:t>到达时，如供应商少于三家的，响应文件将不予启封并现场退还。（符合本部分“</w:t>
      </w:r>
      <w:r>
        <w:rPr>
          <w:rFonts w:hint="eastAsia" w:ascii="宋体" w:hAnsi="宋体" w:eastAsia="宋体" w:cs="宋体"/>
          <w:szCs w:val="24"/>
          <w:highlight w:val="none"/>
        </w:rPr>
        <w:t>特殊情形”的除外</w:t>
      </w:r>
      <w:r>
        <w:rPr>
          <w:rFonts w:hint="eastAsia" w:ascii="宋体" w:hAnsi="宋体" w:eastAsia="宋体" w:cs="宋体"/>
          <w:szCs w:val="24"/>
          <w:highlight w:val="none"/>
          <w:lang w:val="en-GB"/>
        </w:rPr>
        <w:t>）</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62" w:name="_Toc528736190"/>
      <w:bookmarkStart w:id="63" w:name="_Toc136682900"/>
      <w:bookmarkStart w:id="64" w:name="_Toc136662924"/>
      <w:bookmarkStart w:id="65" w:name="_Toc119321135"/>
      <w:bookmarkStart w:id="66" w:name="_Toc275954895"/>
      <w:bookmarkStart w:id="67" w:name="_Toc332090777"/>
      <w:bookmarkStart w:id="68" w:name="_Toc276220267"/>
      <w:r>
        <w:rPr>
          <w:rFonts w:hint="eastAsia" w:ascii="宋体" w:hAnsi="宋体" w:eastAsia="宋体" w:cs="宋体"/>
          <w:b/>
          <w:szCs w:val="24"/>
          <w:highlight w:val="none"/>
          <w:lang w:val="en-GB"/>
        </w:rPr>
        <w:t>磋商小组的组成及工作要求</w:t>
      </w:r>
      <w:bookmarkEnd w:id="62"/>
      <w:bookmarkEnd w:id="63"/>
      <w:bookmarkEnd w:id="64"/>
      <w:bookmarkEnd w:id="65"/>
      <w:bookmarkEnd w:id="66"/>
      <w:bookmarkEnd w:id="67"/>
      <w:bookmarkEnd w:id="68"/>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采购代理机构依法组建磋商小组，磋商小组的组成见《供应商须知前附表》，其中专家成员在专家库中随机抽取产生。</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将本着公平、公正、科学、择优的原则，按照磋商文件确定的评审程序和评审方法进行评审。不得对磋商文件中一些涉及竞争的公平、公正性重要内容（包括带“★”项）进行现场临时修改调整，也不得单独与供应商进行联系接触。</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对磋商文件、响应文件及相关补充文件的理解存有歧义时，磋商小组可对这些文件或向有关方面进行查证了解质询，并通过集体讨论或表决达成一致处理意见。任何形式的决定，须以合法公正和有利于项目的安全顺利实施为前提。</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评审过程中涉及和产生的所有程序文件、打分表格及评审综合意见（授标建议），均须由磋商小组成员签名确认。</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评审结果未公布前，供应商均不得主动与磋商小组、采购人、主办机构联系以探取评审信息。</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69" w:name="_Toc332090778"/>
      <w:bookmarkStart w:id="70" w:name="_Toc275954896"/>
      <w:bookmarkStart w:id="71" w:name="_Toc528736191"/>
      <w:bookmarkStart w:id="72" w:name="_Toc136662925"/>
      <w:bookmarkStart w:id="73" w:name="_Toc276220268"/>
      <w:bookmarkStart w:id="74" w:name="_Toc119321136"/>
      <w:bookmarkStart w:id="75" w:name="_Toc136682901"/>
      <w:r>
        <w:rPr>
          <w:rFonts w:hint="eastAsia" w:ascii="宋体" w:hAnsi="宋体" w:eastAsia="宋体" w:cs="宋体"/>
          <w:b/>
          <w:szCs w:val="24"/>
          <w:highlight w:val="none"/>
          <w:lang w:val="en-GB"/>
        </w:rPr>
        <w:t>评审流程与相关事项</w:t>
      </w:r>
      <w:bookmarkEnd w:id="69"/>
      <w:bookmarkEnd w:id="70"/>
      <w:bookmarkEnd w:id="71"/>
      <w:bookmarkEnd w:id="72"/>
      <w:bookmarkEnd w:id="73"/>
      <w:bookmarkEnd w:id="74"/>
      <w:bookmarkEnd w:id="75"/>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bookmarkStart w:id="76" w:name="_Toc332090779"/>
      <w:r>
        <w:rPr>
          <w:rFonts w:hint="eastAsia" w:ascii="宋体" w:hAnsi="宋体" w:eastAsia="宋体" w:cs="宋体"/>
          <w:b/>
          <w:szCs w:val="24"/>
          <w:highlight w:val="none"/>
          <w:lang w:val="en-GB"/>
        </w:rPr>
        <w:t>确认《评审细则》。</w:t>
      </w:r>
      <w:r>
        <w:rPr>
          <w:rFonts w:hint="eastAsia" w:ascii="宋体" w:hAnsi="宋体" w:eastAsia="宋体" w:cs="宋体"/>
          <w:szCs w:val="24"/>
          <w:highlight w:val="none"/>
          <w:lang w:val="en-GB"/>
        </w:rPr>
        <w:t>签署通过《评审细则》。《评审细则》的内容包括评审纪律、评审方法、评审程序与评审细则等。</w:t>
      </w:r>
    </w:p>
    <w:p>
      <w:pPr>
        <w:numPr>
          <w:ilvl w:val="0"/>
          <w:numId w:val="25"/>
        </w:numPr>
        <w:tabs>
          <w:tab w:val="left" w:pos="420"/>
          <w:tab w:val="left" w:pos="540"/>
        </w:tabs>
        <w:snapToGrid w:val="0"/>
        <w:spacing w:line="360" w:lineRule="auto"/>
        <w:rPr>
          <w:rFonts w:hint="eastAsia" w:ascii="宋体" w:hAnsi="宋体" w:eastAsia="宋体" w:cs="宋体"/>
          <w:bCs/>
          <w:highlight w:val="none"/>
          <w:lang w:val="en-GB"/>
        </w:rPr>
      </w:pPr>
      <w:r>
        <w:rPr>
          <w:rFonts w:hint="eastAsia" w:ascii="宋体" w:hAnsi="宋体" w:eastAsia="宋体" w:cs="宋体"/>
          <w:b/>
          <w:highlight w:val="none"/>
          <w:lang w:val="en-GB"/>
        </w:rPr>
        <w:t>资格审查。</w:t>
      </w:r>
      <w:r>
        <w:rPr>
          <w:rFonts w:hint="eastAsia" w:ascii="宋体" w:hAnsi="宋体" w:eastAsia="宋体" w:cs="宋体"/>
          <w:highlight w:val="none"/>
          <w:lang w:val="en-GB"/>
        </w:rPr>
        <w:t xml:space="preserve">依据磋商文件磋商邀请函中“供应商资格”的规定，对响应文件中的资格证明材料等进行审查，以确定供应商是否具备响应资格。 </w:t>
      </w:r>
    </w:p>
    <w:p>
      <w:pPr>
        <w:numPr>
          <w:ilvl w:val="1"/>
          <w:numId w:val="26"/>
        </w:numPr>
        <w:tabs>
          <w:tab w:val="left" w:pos="540"/>
        </w:tabs>
        <w:spacing w:line="360" w:lineRule="auto"/>
        <w:rPr>
          <w:rFonts w:hint="eastAsia" w:ascii="宋体" w:hAnsi="宋体" w:eastAsia="宋体" w:cs="宋体"/>
          <w:highlight w:val="none"/>
          <w:lang w:val="en-GB"/>
        </w:rPr>
      </w:pPr>
      <w:r>
        <w:rPr>
          <w:rFonts w:hint="eastAsia" w:ascii="宋体" w:hAnsi="宋体" w:eastAsia="宋体" w:cs="宋体"/>
          <w:highlight w:val="none"/>
          <w:lang w:val="en-GB"/>
        </w:rPr>
        <w:t>根据《财政部关于在政府采购活动中查询及使用信用记录有关问题的通知》（财库〔2016〕125 号）的要求，资格审查时将进行信用记录查询：</w:t>
      </w:r>
    </w:p>
    <w:p>
      <w:pPr>
        <w:tabs>
          <w:tab w:val="left" w:pos="540"/>
        </w:tabs>
        <w:snapToGrid w:val="0"/>
        <w:spacing w:line="360" w:lineRule="auto"/>
        <w:rPr>
          <w:rFonts w:hint="eastAsia" w:ascii="宋体" w:hAnsi="宋体" w:eastAsia="宋体" w:cs="宋体"/>
          <w:highlight w:val="none"/>
          <w:lang w:val="en-GB"/>
        </w:rPr>
      </w:pPr>
      <w:r>
        <w:rPr>
          <w:rFonts w:hint="eastAsia" w:ascii="宋体" w:hAnsi="宋体" w:eastAsia="宋体" w:cs="宋体"/>
          <w:highlight w:val="none"/>
          <w:lang w:val="en-GB"/>
        </w:rPr>
        <w:t>（</w:t>
      </w:r>
      <w:r>
        <w:rPr>
          <w:rFonts w:hint="eastAsia" w:ascii="宋体" w:hAnsi="宋体" w:eastAsia="宋体" w:cs="宋体"/>
          <w:highlight w:val="none"/>
        </w:rPr>
        <w:t>1</w:t>
      </w:r>
      <w:r>
        <w:rPr>
          <w:rFonts w:hint="eastAsia" w:ascii="宋体" w:hAnsi="宋体" w:eastAsia="宋体" w:cs="宋体"/>
          <w:highlight w:val="none"/>
          <w:lang w:val="en-GB"/>
        </w:rPr>
        <w:t>）信用记录查询：</w:t>
      </w:r>
    </w:p>
    <w:p>
      <w:pPr>
        <w:tabs>
          <w:tab w:val="left" w:pos="540"/>
        </w:tabs>
        <w:spacing w:line="360" w:lineRule="auto"/>
        <w:ind w:firstLine="480" w:firstLineChars="200"/>
        <w:rPr>
          <w:rFonts w:hint="eastAsia" w:ascii="宋体" w:hAnsi="宋体" w:eastAsia="宋体" w:cs="宋体"/>
          <w:highlight w:val="none"/>
          <w:lang w:val="en-GB"/>
        </w:rPr>
      </w:pPr>
      <w:r>
        <w:rPr>
          <w:rFonts w:hint="eastAsia" w:ascii="宋体" w:hAnsi="宋体" w:eastAsia="宋体" w:cs="宋体"/>
          <w:highlight w:val="none"/>
          <w:lang w:val="en-GB"/>
        </w:rPr>
        <w:t>① 查询渠道：通过“信用中国”网站、中国政府采购网查询供应商的信用记录。</w:t>
      </w:r>
    </w:p>
    <w:p>
      <w:pPr>
        <w:tabs>
          <w:tab w:val="left" w:pos="540"/>
        </w:tabs>
        <w:snapToGrid w:val="0"/>
        <w:spacing w:line="360" w:lineRule="auto"/>
        <w:ind w:left="480" w:leftChars="200"/>
        <w:rPr>
          <w:rFonts w:hint="eastAsia" w:ascii="宋体" w:hAnsi="宋体" w:eastAsia="宋体" w:cs="宋体"/>
          <w:highlight w:val="none"/>
          <w:lang w:val="en-GB"/>
        </w:rPr>
      </w:pPr>
      <w:r>
        <w:rPr>
          <w:rFonts w:hint="eastAsia" w:ascii="宋体" w:hAnsi="宋体" w:eastAsia="宋体" w:cs="宋体"/>
          <w:highlight w:val="none"/>
          <w:lang w:val="en-GB"/>
        </w:rPr>
        <w:t>② 截止时点：投标截止日当天，在进行资格审查时查询询，截止时点以查询页面显示的查询时间为准。</w:t>
      </w:r>
    </w:p>
    <w:p>
      <w:pPr>
        <w:tabs>
          <w:tab w:val="left" w:pos="540"/>
        </w:tabs>
        <w:spacing w:line="360" w:lineRule="auto"/>
        <w:ind w:left="480" w:leftChars="200"/>
        <w:rPr>
          <w:rFonts w:hint="eastAsia" w:ascii="宋体" w:hAnsi="宋体" w:eastAsia="宋体" w:cs="宋体"/>
          <w:highlight w:val="none"/>
          <w:lang w:val="en-GB"/>
        </w:rPr>
      </w:pPr>
      <w:r>
        <w:rPr>
          <w:rFonts w:hint="eastAsia" w:ascii="宋体" w:hAnsi="宋体" w:eastAsia="宋体" w:cs="宋体"/>
          <w:highlight w:val="none"/>
          <w:lang w:val="en-GB"/>
        </w:rPr>
        <w:t>③ 结果留存：采取保留纸质网络打印件、网页查询截图或其相关复印件的方式做好信用信息查询记录和证据留存，信用信息查询记录及相关证据与其他采购文件一并保存。</w:t>
      </w:r>
    </w:p>
    <w:p>
      <w:pPr>
        <w:tabs>
          <w:tab w:val="left" w:pos="540"/>
        </w:tabs>
        <w:spacing w:line="360" w:lineRule="auto"/>
        <w:rPr>
          <w:rFonts w:hint="eastAsia" w:ascii="宋体" w:hAnsi="宋体" w:eastAsia="宋体" w:cs="宋体"/>
          <w:highlight w:val="none"/>
          <w:lang w:val="en-GB"/>
        </w:rPr>
      </w:pPr>
      <w:r>
        <w:rPr>
          <w:rFonts w:hint="eastAsia" w:ascii="宋体" w:hAnsi="宋体" w:eastAsia="宋体" w:cs="宋体"/>
          <w:highlight w:val="none"/>
          <w:lang w:val="en-GB"/>
        </w:rPr>
        <w:t>（</w:t>
      </w:r>
      <w:r>
        <w:rPr>
          <w:rFonts w:hint="eastAsia" w:ascii="宋体" w:hAnsi="宋体" w:eastAsia="宋体" w:cs="宋体"/>
          <w:highlight w:val="none"/>
        </w:rPr>
        <w:t>2</w:t>
      </w:r>
      <w:r>
        <w:rPr>
          <w:rFonts w:hint="eastAsia" w:ascii="宋体" w:hAnsi="宋体" w:eastAsia="宋体" w:cs="宋体"/>
          <w:highlight w:val="none"/>
          <w:lang w:val="en-GB"/>
        </w:rPr>
        <w:t>）信用记录的使用：</w:t>
      </w:r>
    </w:p>
    <w:p>
      <w:pPr>
        <w:tabs>
          <w:tab w:val="left" w:pos="540"/>
        </w:tabs>
        <w:spacing w:line="360" w:lineRule="auto"/>
        <w:ind w:left="480" w:leftChars="200"/>
        <w:rPr>
          <w:rFonts w:hint="eastAsia" w:ascii="宋体" w:hAnsi="宋体" w:eastAsia="宋体" w:cs="宋体"/>
          <w:sz w:val="84"/>
          <w:szCs w:val="84"/>
          <w:highlight w:val="none"/>
          <w:lang w:val="en-GB"/>
        </w:rPr>
      </w:pPr>
      <w:r>
        <w:rPr>
          <w:rFonts w:hint="eastAsia" w:ascii="宋体" w:hAnsi="宋体" w:eastAsia="宋体" w:cs="宋体"/>
          <w:highlight w:val="none"/>
          <w:lang w:val="en-GB"/>
        </w:rPr>
        <w:t>① 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540"/>
        </w:tabs>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highlight w:val="none"/>
          <w:lang w:val="en-GB"/>
        </w:rPr>
        <w:t>② 两个以上的自然人、法人或者其他组织组成一个联合体，以一个供应商的身份共同参加政府采购活动的，对所有联合体成员进行信用记录查询，联合体成员存在不良信用记录的，视同联合体存在不良信用记录。</w:t>
      </w:r>
    </w:p>
    <w:p>
      <w:pPr>
        <w:numPr>
          <w:ilvl w:val="0"/>
          <w:numId w:val="25"/>
        </w:numPr>
        <w:tabs>
          <w:tab w:val="left" w:pos="420"/>
          <w:tab w:val="left" w:pos="540"/>
        </w:tabs>
        <w:snapToGrid w:val="0"/>
        <w:spacing w:line="360" w:lineRule="auto"/>
        <w:rPr>
          <w:rFonts w:hint="eastAsia" w:ascii="宋体" w:hAnsi="宋体" w:eastAsia="宋体" w:cs="宋体"/>
          <w:bCs/>
          <w:szCs w:val="24"/>
          <w:highlight w:val="none"/>
          <w:lang w:val="en-GB"/>
        </w:rPr>
      </w:pPr>
      <w:r>
        <w:rPr>
          <w:rFonts w:hint="eastAsia" w:ascii="宋体" w:hAnsi="宋体" w:eastAsia="宋体" w:cs="宋体"/>
          <w:b/>
          <w:szCs w:val="24"/>
          <w:highlight w:val="none"/>
          <w:lang w:val="en-GB"/>
        </w:rPr>
        <w:t>符合性审查。</w:t>
      </w:r>
      <w:r>
        <w:rPr>
          <w:rFonts w:hint="eastAsia" w:ascii="宋体" w:hAnsi="宋体" w:eastAsia="宋体" w:cs="宋体"/>
          <w:szCs w:val="24"/>
          <w:highlight w:val="none"/>
          <w:lang w:val="en-GB"/>
        </w:rPr>
        <w:t>评标委员会依据资格性审查结果，对通过资格性审查的供应商进行符合性审查，对照本项目的技术、商务、预算金额及文件制作要求，审查投标文件是否完全实质性响应</w:t>
      </w:r>
      <w:r>
        <w:rPr>
          <w:rFonts w:hint="eastAsia" w:ascii="宋体" w:hAnsi="宋体" w:eastAsia="宋体" w:cs="宋体"/>
          <w:szCs w:val="24"/>
          <w:highlight w:val="none"/>
        </w:rPr>
        <w:t>竞争性磋商文件</w:t>
      </w:r>
      <w:r>
        <w:rPr>
          <w:rFonts w:hint="eastAsia" w:ascii="宋体" w:hAnsi="宋体" w:eastAsia="宋体" w:cs="宋体"/>
          <w:szCs w:val="24"/>
          <w:highlight w:val="none"/>
          <w:lang w:val="en-GB"/>
        </w:rPr>
        <w:t>的要求情况等，没有出现重大偏离。</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质询与澄清（如有）。</w:t>
      </w:r>
    </w:p>
    <w:p>
      <w:pPr>
        <w:numPr>
          <w:ilvl w:val="1"/>
          <w:numId w:val="27"/>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27"/>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2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实质性响应。</w:t>
      </w:r>
      <w:r>
        <w:rPr>
          <w:rFonts w:hint="eastAsia" w:ascii="宋体" w:hAnsi="宋体" w:eastAsia="宋体" w:cs="宋体"/>
          <w:szCs w:val="24"/>
          <w:highlight w:val="none"/>
          <w:lang w:val="en-GB"/>
        </w:rPr>
        <w:t xml:space="preserve">是指符合招标文件的关键性和重要要求、条款、条件、规定，且没有不利于 项目实施质量效果和服务保障的重大偏离或保留。实质性条款包括但不限于本文件涉及的 “商务要求中的各项条款”及其它带“★”标注的强制响应条款。 </w:t>
      </w:r>
    </w:p>
    <w:p>
      <w:pPr>
        <w:numPr>
          <w:ilvl w:val="0"/>
          <w:numId w:val="2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重大偏离或保留。</w:t>
      </w:r>
      <w:r>
        <w:rPr>
          <w:rFonts w:hint="eastAsia" w:ascii="宋体" w:hAnsi="宋体" w:eastAsia="宋体" w:cs="宋体"/>
          <w:szCs w:val="24"/>
          <w:highlight w:val="none"/>
          <w:lang w:val="en-GB"/>
        </w:rPr>
        <w:t xml:space="preserve">是指影响到招标文件规定的范围、质量和性能或限制了采购人的权力和投标人义务的规定，而调整纠正这些偏离将直接影响到其它投标人的公平竞争地位。 </w:t>
      </w:r>
    </w:p>
    <w:p>
      <w:pPr>
        <w:numPr>
          <w:ilvl w:val="0"/>
          <w:numId w:val="2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轻微偏离。</w:t>
      </w:r>
      <w:r>
        <w:rPr>
          <w:rFonts w:hint="eastAsia" w:ascii="宋体" w:hAnsi="宋体" w:eastAsia="宋体" w:cs="宋体"/>
          <w:szCs w:val="24"/>
          <w:highlight w:val="none"/>
          <w:lang w:val="en-GB"/>
        </w:rPr>
        <w:t xml:space="preserve">是指投标文件能够实质上响应招标文件要求，但在个别地方存在漏项或者提供 了不完整的技术信息和数据等情况，并且补正这些遗漏或者不完整不会对其他投标人造成 不公平的结果。它包括负偏离（劣于）和正偏离(优于)。 </w:t>
      </w:r>
    </w:p>
    <w:p>
      <w:pPr>
        <w:numPr>
          <w:ilvl w:val="0"/>
          <w:numId w:val="28"/>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相同品牌的认定 。</w:t>
      </w:r>
    </w:p>
    <w:p>
      <w:pPr>
        <w:tabs>
          <w:tab w:val="left" w:pos="510"/>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(1)采用最低评标价法的采购项目：提供相同品牌产品通过资格审查、符合性审查且报价最低的参加评标；报价相同的，评标委员会按照商务条件比较优的推荐一名投标人参加评标，其他投标无效。</w:t>
      </w:r>
    </w:p>
    <w:p>
      <w:pPr>
        <w:tabs>
          <w:tab w:val="left" w:pos="510"/>
          <w:tab w:val="left" w:pos="540"/>
        </w:tabs>
        <w:snapToGrid w:val="0"/>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(2)使用综合评分法的采购项目：提供相同品牌产品且通过资格审查、符合性审查的不同投标人参加同一合同项下投标的，按一家投标人计算。评标委员会最终按照本须知推荐中标候选人名单的方式确定一家中标候选人，其他同品牌投标人不作为中标候选人。</w:t>
      </w:r>
    </w:p>
    <w:p>
      <w:pPr>
        <w:tabs>
          <w:tab w:val="left" w:pos="510"/>
          <w:tab w:val="left" w:pos="540"/>
        </w:tabs>
        <w:snapToGrid w:val="0"/>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(3)非单一产品采购项目：非单一产品采购项目的核心产品在本文第二章载明，未载明的均作为核心产品。评标委员会依照投标人投标的核心产品评审是否属于相同品牌，属于相同品牌的按上述规定进行处理。</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初审结论。</w:t>
      </w:r>
      <w:r>
        <w:rPr>
          <w:rFonts w:hint="eastAsia" w:ascii="宋体" w:hAnsi="宋体" w:eastAsia="宋体" w:cs="宋体"/>
          <w:szCs w:val="24"/>
          <w:highlight w:val="none"/>
          <w:lang w:val="en-GB"/>
        </w:rPr>
        <w:t>初审结论以记名方式独立表决，评审过程中对初步认定为“初审不合格”或“无效投标”或“不通过”者，磋商小组可通知供应商授权代表亲自到达现场，由当事人对被列举的事实加以核证和确认。对有过半数评委审定为“初审不合格”或“无效投标”或“不通过”者将不进入下列程序的评审。</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磋商。</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磋商小组所有成员应当集中与单一供应商分别进行磋商，并给予所有参加磋商的供应商平等的磋商机会。</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对磋商文件作出的实质性变动是磋商文件的有效组成部分，磋商小组应当及时以书面形式同时通知所有参加磋商的供应商。</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磋商文件能够详细列明采购标的的技术、服务要求的，磋商结束后，磋商小组</w:t>
      </w:r>
      <w:r>
        <w:rPr>
          <w:rFonts w:hint="eastAsia" w:ascii="宋体" w:hAnsi="宋体" w:eastAsia="宋体" w:cs="宋体"/>
          <w:szCs w:val="24"/>
          <w:highlight w:val="none"/>
        </w:rPr>
        <w:t>可</w:t>
      </w:r>
      <w:r>
        <w:rPr>
          <w:rFonts w:hint="eastAsia" w:ascii="宋体" w:hAnsi="宋体" w:eastAsia="宋体" w:cs="宋体"/>
          <w:szCs w:val="24"/>
          <w:highlight w:val="none"/>
          <w:lang w:val="en-GB"/>
        </w:rPr>
        <w:t>要求所有实质性响应的供应商在规定时间内提交最后报价（是否进行最终报价及最终报价时间视磋商进程由磋商小组决定），提交最后报价的供应商不得少于3家。（符合本部分“特殊情形”的除外）</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符合本部分“特殊情形”的除外）</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已提交响应文件的供应商，在提交最后报价之前，可以根据磋商情况退出磋商。</w:t>
      </w:r>
    </w:p>
    <w:p>
      <w:pPr>
        <w:numPr>
          <w:ilvl w:val="0"/>
          <w:numId w:val="25"/>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最后报价。</w:t>
      </w:r>
    </w:p>
    <w:p>
      <w:pPr>
        <w:numPr>
          <w:ilvl w:val="1"/>
          <w:numId w:val="3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结束后，所有作出实质性响应的有效供应商应在规定的时间内集中密封提交最后报价（最后报价时间视磋商进程由磋商小组决定）。除非在磋商中磋商小组调整或修改竞争性磋商文件内容，一般情况下最后报价均不得高于前一次报价，否则采购人不接受高于前面轮次磋商报价的最后报价。最后报价内容须现场公布。对成交供应商的价格出现明显低于或高于同业同期市场平均价的情形时，磋商小组应当在评审意见中详细说明推荐理由。</w:t>
      </w:r>
    </w:p>
    <w:p>
      <w:pPr>
        <w:numPr>
          <w:ilvl w:val="1"/>
          <w:numId w:val="3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最后报价是供应商响应文件的有效组成部分。</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比较与评价。</w:t>
      </w:r>
    </w:p>
    <w:p>
      <w:pPr>
        <w:numPr>
          <w:ilvl w:val="1"/>
          <w:numId w:val="31"/>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经磋商确定最终采购需求和提交最后报价的供应商后，由磋商小组采用综合评分法（详见本部分“六、评审方法及标准”）对提交最后报价的供应商的响应文件和最后报价进行综合评分。</w:t>
      </w:r>
    </w:p>
    <w:p>
      <w:pPr>
        <w:numPr>
          <w:ilvl w:val="1"/>
          <w:numId w:val="31"/>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评审时，磋商小组各成员应当独立对每个有效响应的文件进行评价、打分，然后汇总每个供应商每项评分因素的得分。评分按四舍五入的原则精确至小数点后两位。</w:t>
      </w:r>
    </w:p>
    <w:p>
      <w:pPr>
        <w:numPr>
          <w:ilvl w:val="0"/>
          <w:numId w:val="25"/>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政策性价格折扣。</w:t>
      </w:r>
    </w:p>
    <w:p>
      <w:pPr>
        <w:numPr>
          <w:ilvl w:val="1"/>
          <w:numId w:val="32"/>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w:t>
      </w:r>
      <w:r>
        <w:rPr>
          <w:rFonts w:hint="eastAsia" w:ascii="宋体" w:hAnsi="宋体" w:eastAsia="宋体" w:cs="宋体"/>
          <w:szCs w:val="24"/>
          <w:highlight w:val="none"/>
          <w:lang w:val="en-GB" w:eastAsia="zh-CN"/>
        </w:rPr>
        <w:t>政府采购促进中小企业发展管理办法</w:t>
      </w:r>
      <w:r>
        <w:rPr>
          <w:rFonts w:hint="eastAsia" w:ascii="宋体" w:hAnsi="宋体" w:eastAsia="宋体" w:cs="宋体"/>
          <w:szCs w:val="24"/>
          <w:highlight w:val="none"/>
          <w:lang w:val="en-GB"/>
        </w:rPr>
        <w:t>》（</w:t>
      </w:r>
      <w:r>
        <w:rPr>
          <w:rFonts w:hint="eastAsia" w:ascii="宋体" w:hAnsi="宋体" w:eastAsia="宋体" w:cs="宋体"/>
          <w:szCs w:val="24"/>
          <w:highlight w:val="none"/>
          <w:lang w:val="en-GB" w:eastAsia="zh-CN"/>
        </w:rPr>
        <w:t>财库〔2020〕46号</w:t>
      </w:r>
      <w:r>
        <w:rPr>
          <w:rFonts w:hint="eastAsia" w:ascii="宋体" w:hAnsi="宋体" w:eastAsia="宋体" w:cs="宋体"/>
          <w:szCs w:val="24"/>
          <w:highlight w:val="none"/>
          <w:lang w:val="en-GB"/>
        </w:rPr>
        <w:t>）</w:t>
      </w:r>
    </w:p>
    <w:p>
      <w:pPr>
        <w:numPr>
          <w:ilvl w:val="1"/>
          <w:numId w:val="32"/>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《关于政府采购支持监狱企业发展有关问题的通知》(财库〔2014〕68号)</w:t>
      </w:r>
    </w:p>
    <w:p>
      <w:pPr>
        <w:numPr>
          <w:ilvl w:val="1"/>
          <w:numId w:val="32"/>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《关于促进残疾人就业政府采购政策的通知》（财库〔2017〕141号)</w:t>
      </w:r>
    </w:p>
    <w:p>
      <w:pPr>
        <w:numPr>
          <w:ilvl w:val="-1"/>
          <w:numId w:val="0"/>
        </w:numPr>
        <w:tabs>
          <w:tab w:val="left" w:pos="540"/>
        </w:tabs>
        <w:spacing w:line="360" w:lineRule="auto"/>
        <w:ind w:left="0" w:firstLine="720" w:firstLineChars="300"/>
        <w:rPr>
          <w:rFonts w:hint="eastAsia" w:ascii="宋体" w:hAnsi="宋体" w:eastAsia="宋体" w:cs="宋体"/>
          <w:szCs w:val="24"/>
          <w:highlight w:val="none"/>
          <w:lang w:val="en-GB"/>
        </w:rPr>
      </w:pPr>
      <w:r>
        <w:rPr>
          <w:rFonts w:hint="eastAsia" w:ascii="宋体" w:hAnsi="宋体" w:eastAsia="宋体" w:cs="宋体"/>
          <w:szCs w:val="24"/>
          <w:highlight w:val="none"/>
          <w:lang w:val="en-GB"/>
        </w:rPr>
        <w:t>具体扣除比例详见“评审方法及标准”。</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综合汇总及推荐结果。</w:t>
      </w:r>
    </w:p>
    <w:p>
      <w:pPr>
        <w:numPr>
          <w:ilvl w:val="1"/>
          <w:numId w:val="33"/>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将各磋商小组成员的评分进行汇总，综合总分</w:t>
      </w:r>
      <w:r>
        <w:rPr>
          <w:rFonts w:hint="eastAsia" w:ascii="宋体" w:hAnsi="宋体" w:eastAsia="宋体" w:cs="宋体"/>
          <w:b/>
          <w:bCs/>
          <w:szCs w:val="24"/>
          <w:highlight w:val="none"/>
          <w:lang w:val="en-GB"/>
        </w:rPr>
        <w:t>（按照评审因素的量化指标评审得分）</w:t>
      </w:r>
      <w:r>
        <w:rPr>
          <w:rFonts w:hint="eastAsia" w:ascii="宋体" w:hAnsi="宋体" w:eastAsia="宋体" w:cs="宋体"/>
          <w:szCs w:val="24"/>
          <w:highlight w:val="none"/>
          <w:lang w:val="en-GB"/>
        </w:rPr>
        <w:t>从高到低顺序排列，推荐综合得分</w:t>
      </w:r>
      <w:r>
        <w:rPr>
          <w:rFonts w:hint="eastAsia" w:ascii="宋体" w:hAnsi="宋体" w:eastAsia="宋体" w:cs="宋体"/>
          <w:b/>
          <w:bCs/>
          <w:szCs w:val="24"/>
          <w:highlight w:val="none"/>
          <w:lang w:val="en-GB"/>
        </w:rPr>
        <w:t>（按照评审因素的量化指标评审得分）</w:t>
      </w:r>
      <w:r>
        <w:rPr>
          <w:rFonts w:hint="eastAsia" w:ascii="宋体" w:hAnsi="宋体" w:eastAsia="宋体" w:cs="宋体"/>
          <w:szCs w:val="24"/>
          <w:highlight w:val="none"/>
          <w:lang w:val="en-GB"/>
        </w:rPr>
        <w:t>排名前</w:t>
      </w:r>
      <w:r>
        <w:rPr>
          <w:rFonts w:hint="eastAsia" w:ascii="宋体" w:hAnsi="宋体" w:eastAsia="宋体" w:cs="宋体"/>
          <w:szCs w:val="24"/>
          <w:highlight w:val="none"/>
          <w:lang w:val="en-US" w:eastAsia="zh-CN"/>
        </w:rPr>
        <w:t>3</w:t>
      </w:r>
      <w:r>
        <w:rPr>
          <w:rFonts w:hint="eastAsia" w:ascii="宋体" w:hAnsi="宋体" w:eastAsia="宋体" w:cs="宋体"/>
          <w:szCs w:val="24"/>
          <w:highlight w:val="none"/>
          <w:lang w:val="en-GB"/>
        </w:rPr>
        <w:t>名的供应商为第一</w:t>
      </w:r>
      <w:r>
        <w:rPr>
          <w:rFonts w:hint="eastAsia" w:ascii="宋体" w:hAnsi="宋体" w:eastAsia="宋体" w:cs="宋体"/>
          <w:szCs w:val="24"/>
          <w:highlight w:val="none"/>
          <w:lang w:val="en-GB" w:eastAsia="zh-CN"/>
        </w:rPr>
        <w:t>、</w:t>
      </w:r>
      <w:r>
        <w:rPr>
          <w:rFonts w:hint="eastAsia" w:ascii="宋体" w:hAnsi="宋体" w:eastAsia="宋体" w:cs="宋体"/>
          <w:szCs w:val="24"/>
          <w:highlight w:val="none"/>
          <w:lang w:val="en-US" w:eastAsia="zh-CN"/>
        </w:rPr>
        <w:t>第二、第三</w:t>
      </w:r>
      <w:r>
        <w:rPr>
          <w:rFonts w:hint="eastAsia" w:ascii="宋体" w:hAnsi="宋体" w:eastAsia="宋体" w:cs="宋体"/>
          <w:szCs w:val="24"/>
          <w:highlight w:val="none"/>
          <w:lang w:val="en-GB"/>
        </w:rPr>
        <w:t>成交候选人并向采购人出具书面评标报告。</w:t>
      </w:r>
    </w:p>
    <w:p>
      <w:pPr>
        <w:numPr>
          <w:ilvl w:val="1"/>
          <w:numId w:val="34"/>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磋商小组成员推荐成交候选人的数量：详见《供应商须知前附表》</w:t>
      </w:r>
    </w:p>
    <w:p>
      <w:pPr>
        <w:numPr>
          <w:ilvl w:val="1"/>
          <w:numId w:val="34"/>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评标总得分排名第一名有多家供应商得分并列相同的，按照最后报价由低到高的顺序推荐；评审得分且最后报价相同的，按技术得分从高到低顺序推荐；若评标总得分、最后报价、技术得分都相同，则由评委投票决定排序，投票按少数服从多数的原则进行，投票时不得弃权。</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响应文件差异修正准则</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开标内容与响应文件对应内容不一致，均以开标唱读所列述的内容为准；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正本和副本之间内容有差异，以正本为准；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投标/响应报价中文大写金额和小写金额不一致的，以中文大写金额为准；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总价金额与按单价汇总金额不一致的，以单价汇总金额为准；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响应文件描述内容与原始材料引述内容不一致时，以原始材料内容为准；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如出现明显笔误或其他情况，由磋商小组裁定通过方为有效；</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磋商小组认定为表述不清晰或无法确定的报价均不予修正。</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废标条件与处理</w:t>
      </w:r>
      <w:bookmarkEnd w:id="76"/>
    </w:p>
    <w:p>
      <w:pPr>
        <w:tabs>
          <w:tab w:val="left" w:pos="540"/>
        </w:tabs>
        <w:snapToGrid w:val="0"/>
        <w:spacing w:line="360" w:lineRule="auto"/>
        <w:ind w:left="510"/>
        <w:rPr>
          <w:rFonts w:hint="eastAsia" w:ascii="宋体" w:hAnsi="宋体" w:eastAsia="宋体" w:cs="宋体"/>
          <w:szCs w:val="24"/>
          <w:highlight w:val="none"/>
          <w:lang w:val="en-GB"/>
        </w:rPr>
      </w:pPr>
      <w:bookmarkStart w:id="77" w:name="_Toc26261448"/>
      <w:bookmarkStart w:id="78" w:name="_Toc25726401"/>
      <w:r>
        <w:rPr>
          <w:rFonts w:hint="eastAsia" w:ascii="宋体" w:hAnsi="宋体" w:eastAsia="宋体" w:cs="宋体"/>
          <w:szCs w:val="24"/>
          <w:highlight w:val="none"/>
          <w:lang w:val="en-GB"/>
        </w:rPr>
        <w:t>本项目或独立分包出现下列条件之一则对应定作废标：</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符合资格条件的供应商，或对磋商文件实质性条款做出响应的供应商不足三家；</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供应商的报价均超过了采购预算控制范围且采购人不能接受或不符合磋商文件要求；</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采购过程出现影响公平公正竞争的违法、违规行为；</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因重大变故，接财政部门通知本项目采购活动须即中止或取消。</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符合第1-3条其中之一废标条件时（符合本部分“特殊情形”的除外），将择日重新组织招标，同时将废标理由和处理决定知会各相关供应商。</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79" w:name="_Toc332090780"/>
      <w:r>
        <w:rPr>
          <w:rFonts w:hint="eastAsia" w:ascii="宋体" w:hAnsi="宋体" w:eastAsia="宋体" w:cs="宋体"/>
          <w:b/>
          <w:szCs w:val="24"/>
          <w:highlight w:val="none"/>
          <w:lang w:val="en-GB"/>
        </w:rPr>
        <w:t>无效投标/响应行为的认定</w:t>
      </w:r>
      <w:bookmarkEnd w:id="79"/>
    </w:p>
    <w:p>
      <w:pPr>
        <w:numPr>
          <w:ilvl w:val="0"/>
          <w:numId w:val="37"/>
        </w:numPr>
        <w:tabs>
          <w:tab w:val="left" w:pos="540"/>
        </w:tabs>
        <w:snapToGrid w:val="0"/>
        <w:spacing w:line="360" w:lineRule="auto"/>
        <w:rPr>
          <w:rFonts w:hint="eastAsia" w:ascii="宋体" w:hAnsi="宋体" w:eastAsia="宋体" w:cs="宋体"/>
          <w:szCs w:val="24"/>
          <w:highlight w:val="none"/>
          <w:lang w:val="en-GB"/>
        </w:rPr>
      </w:pPr>
      <w:bookmarkStart w:id="80" w:name="_Toc136682902"/>
      <w:bookmarkStart w:id="81" w:name="_Toc136662926"/>
      <w:bookmarkStart w:id="82" w:name="_Toc119321137"/>
      <w:bookmarkStart w:id="83" w:name="_Toc528736192"/>
      <w:bookmarkStart w:id="84" w:name="_Toc275954897"/>
      <w:bookmarkStart w:id="85" w:name="_Toc276220269"/>
      <w:r>
        <w:rPr>
          <w:rFonts w:hint="eastAsia" w:ascii="宋体" w:hAnsi="宋体" w:eastAsia="宋体" w:cs="宋体"/>
          <w:szCs w:val="24"/>
          <w:highlight w:val="none"/>
          <w:lang w:val="en-GB"/>
        </w:rPr>
        <w:t>不具备磋商文件中规定的供应商资格要求；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磋商报价不符合磋商文件要求，或超出</w:t>
      </w:r>
      <w:r>
        <w:rPr>
          <w:rFonts w:hint="eastAsia" w:ascii="宋体" w:hAnsi="宋体" w:eastAsia="宋体" w:cs="宋体"/>
          <w:szCs w:val="24"/>
          <w:highlight w:val="none"/>
        </w:rPr>
        <w:t>采购项目预算金额（最高报价上限价）</w:t>
      </w:r>
      <w:r>
        <w:rPr>
          <w:rFonts w:hint="eastAsia" w:ascii="宋体" w:hAnsi="宋体" w:eastAsia="宋体" w:cs="宋体"/>
          <w:szCs w:val="24"/>
          <w:highlight w:val="none"/>
          <w:lang w:val="en-GB"/>
        </w:rPr>
        <w:t>；</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投标/响应主体不明确；不符合磋商文件中合格供应商的相关规定；货物或服务不符合法定和约定的合格性标准要求；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以假借、挂靠他人名义或用串谋勾结等形式参与投标，在独立供应商之间构成非法互惠利益和同盟关系；</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单位负责人为同一人或者存在控股、管理关系的不同单位同时参与投标/响应并递交响应文件；</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同一家供应商递交两套或以上不同的响应文件（正本）；（注：分册属同一套文件。）</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未能有效通过初审检查，对约定必备的合格条件和重要关键内容出现实质性偏离；</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提供的中小企业声明与承诺等证明材料经认定后存在虚假或与事实不符的情形；提供虚假材料谋取中标/成交的；</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投标有效期不响应磋商文件要求；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响应文件编制和装订严重不符合磋商文件要求；（注：装订不牢固或活页装订，或递交的响应文件份数与《供应商须知前附表》要求不符的，属于无效投标行为。）</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磋商文件明示盖公章处未加盖公章；</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磋商文件明示需签字或签章处未有法定代表人或全权代表签字或签章；</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拒绝、对抗磋商小组所作的决定或合理要求；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投标方案、磋商报价表述不清晰或无法确定；</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符合磋商文件中载明会导致无效投标的其它规定和要求。</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对供应商全权代表的要求</w:t>
      </w:r>
      <w:bookmarkEnd w:id="77"/>
      <w:bookmarkEnd w:id="78"/>
      <w:bookmarkEnd w:id="80"/>
      <w:bookmarkEnd w:id="81"/>
      <w:bookmarkEnd w:id="82"/>
      <w:bookmarkEnd w:id="83"/>
      <w:bookmarkEnd w:id="84"/>
      <w:bookmarkEnd w:id="85"/>
    </w:p>
    <w:p>
      <w:pPr>
        <w:numPr>
          <w:ilvl w:val="0"/>
          <w:numId w:val="3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供应商全权代表必须持身份证原件响应磋商小组的临时召唤，其现场所签署确认的文件均代表供应商的决定，并作为响应文件的补充内容具有不可撤消更改的法律效力。</w:t>
      </w:r>
    </w:p>
    <w:p>
      <w:pPr>
        <w:numPr>
          <w:ilvl w:val="0"/>
          <w:numId w:val="3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供应商全权代表在现场所签署确认的文件均代表供应商的决定，并作为响应文件的补充内容具有不可撤消更改的同等效力。如有以下情形之一的，该供应商将被视为自动放弃投标资格并作无效投标处理：</w:t>
      </w:r>
    </w:p>
    <w:p>
      <w:pPr>
        <w:numPr>
          <w:ilvl w:val="1"/>
          <w:numId w:val="3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供应商全权代表未携带有效身份证明到达评审现场的；</w:t>
      </w:r>
    </w:p>
    <w:p>
      <w:pPr>
        <w:numPr>
          <w:ilvl w:val="1"/>
          <w:numId w:val="39"/>
        </w:numPr>
        <w:tabs>
          <w:tab w:val="left" w:pos="540"/>
        </w:tabs>
        <w:spacing w:line="360" w:lineRule="auto"/>
        <w:ind w:left="540" w:hanging="540"/>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供应商全权代表未能在规定时间内到达评审现场的。</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采购终止的情形</w:t>
      </w:r>
    </w:p>
    <w:p>
      <w:pPr>
        <w:tabs>
          <w:tab w:val="left" w:pos="510"/>
          <w:tab w:val="left" w:pos="540"/>
        </w:tabs>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出现下列情形之一的，采购人或者采购代理机构应当终止竞争性磋商采购活动，发布项目终止公告并说明原因，重新开展采购活动：</w:t>
      </w:r>
    </w:p>
    <w:p>
      <w:pPr>
        <w:numPr>
          <w:ilvl w:val="1"/>
          <w:numId w:val="4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因情况变化，不再符合规定的竞争性磋商采购方式适用情形的；</w:t>
      </w:r>
    </w:p>
    <w:p>
      <w:pPr>
        <w:numPr>
          <w:ilvl w:val="1"/>
          <w:numId w:val="4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出现影响采购公正的违法、违规行为的；</w:t>
      </w:r>
    </w:p>
    <w:p>
      <w:pPr>
        <w:numPr>
          <w:ilvl w:val="1"/>
          <w:numId w:val="4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在采购过程中符合要求的供应商或者报价未超过采购预算的供应商不足3家的。</w:t>
      </w:r>
    </w:p>
    <w:p>
      <w:pPr>
        <w:tabs>
          <w:tab w:val="left" w:pos="510"/>
          <w:tab w:val="left" w:pos="540"/>
        </w:tabs>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（符合本部分“特殊情形”的除外）</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特殊情形</w:t>
      </w:r>
    </w:p>
    <w:p>
      <w:pPr>
        <w:numPr>
          <w:ilvl w:val="1"/>
          <w:numId w:val="41"/>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采用竞争性磋商采购方式采购的政府购买服务项目（含政府和社会资本合作项目），在采购过程中符合要求的供应商（社会资本）只有2家的，竞争性磋商采购活动可以继续进行。</w:t>
      </w:r>
    </w:p>
    <w:p>
      <w:pPr>
        <w:numPr>
          <w:ilvl w:val="1"/>
          <w:numId w:val="41"/>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Cs w:val="24"/>
          <w:highlight w:val="none"/>
          <w:lang w:val="en-GB"/>
        </w:rPr>
        <w:t>符合法律规定的情形（《政府采购竞争性磋商采购方式管理暂行办法》第三条（四）市场竞争不充分的科研项目，以及需要扶持的科技成果转化项目）的，提交最后报价的供应商可以为2家。</w:t>
      </w:r>
      <w:bookmarkStart w:id="86" w:name="_Toc9912"/>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六、评审方法及标准</w:t>
      </w:r>
      <w:bookmarkEnd w:id="86"/>
    </w:p>
    <w:p>
      <w:pPr>
        <w:spacing w:line="360" w:lineRule="auto"/>
        <w:rPr>
          <w:rFonts w:hint="eastAsia" w:ascii="宋体" w:hAnsi="宋体" w:eastAsia="宋体" w:cs="宋体"/>
          <w:b/>
          <w:szCs w:val="24"/>
          <w:highlight w:val="none"/>
        </w:rPr>
      </w:pPr>
      <w:r>
        <w:rPr>
          <w:rFonts w:hint="eastAsia" w:ascii="宋体" w:hAnsi="宋体" w:eastAsia="宋体" w:cs="宋体"/>
          <w:szCs w:val="24"/>
          <w:highlight w:val="none"/>
        </w:rPr>
        <w:t>附表一：</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资格性审查标准</w:t>
      </w:r>
    </w:p>
    <w:tbl>
      <w:tblPr>
        <w:tblStyle w:val="44"/>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序号</w:t>
            </w:r>
          </w:p>
        </w:tc>
        <w:tc>
          <w:tcPr>
            <w:tcW w:w="863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kern w:val="1"/>
                <w:szCs w:val="24"/>
                <w:highlight w:val="none"/>
              </w:rPr>
              <w:t>供应商应具备</w:t>
            </w:r>
            <w:r>
              <w:rPr>
                <w:rFonts w:hint="eastAsia" w:ascii="宋体" w:hAnsi="宋体" w:eastAsia="宋体" w:cs="宋体"/>
                <w:szCs w:val="24"/>
                <w:highlight w:val="none"/>
                <w:lang w:val="hr-HR"/>
              </w:rPr>
              <w:t>《政府采购法》第二十二条规定的条件</w:t>
            </w:r>
            <w:r>
              <w:rPr>
                <w:rFonts w:hint="eastAsia" w:ascii="宋体" w:hAnsi="宋体" w:eastAsia="宋体" w:cs="宋体"/>
                <w:kern w:val="1"/>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631" w:type="dxa"/>
            <w:vAlign w:val="center"/>
          </w:tcPr>
          <w:p>
            <w:pPr>
              <w:spacing w:line="360" w:lineRule="auto"/>
              <w:rPr>
                <w:rFonts w:hint="eastAsia" w:ascii="宋体" w:hAnsi="宋体" w:eastAsia="宋体" w:cs="宋体"/>
                <w:kern w:val="1"/>
                <w:szCs w:val="24"/>
                <w:highlight w:val="none"/>
              </w:rPr>
            </w:pP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8631" w:type="dxa"/>
            <w:vAlign w:val="center"/>
          </w:tcPr>
          <w:p>
            <w:pPr>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供应商未被列入“信用中国”网站“记录失信被执行人或重大税收违法案件当事人名单或政府采购严重违法失信行为”记录名单；未处于中国政府采购网“政府采购严重违法失信行为信息记录”中的禁止参加政府采购活动期间。（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为采购项目提供整体设计、规范编制或者项目管理、监理、检测等服务的供应商，不得再参加该采购项目/包组的其他采购活动。（提供《承诺函》）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本项目不接受磋商联合体。</w:t>
            </w:r>
          </w:p>
        </w:tc>
      </w:tr>
    </w:tbl>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附表二：</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符合性审查标准</w:t>
      </w:r>
    </w:p>
    <w:tbl>
      <w:tblPr>
        <w:tblStyle w:val="44"/>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序号</w:t>
            </w:r>
          </w:p>
        </w:tc>
        <w:tc>
          <w:tcPr>
            <w:tcW w:w="863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按照招标文件规定要求签署、盖章且投标文件有法定代表人签字或盖章（或签字人有法定代表人有效授权书）的；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磋商承诺函已提交并符合竞争性磋商文件要求的；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报价不高于采购预算/控制总额；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响应文件没有竞争性磋商文件中规定的其它无效磋商条款的；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按有关法律、法规、规章不属于磋商无效的。</w:t>
            </w:r>
          </w:p>
        </w:tc>
      </w:tr>
    </w:tbl>
    <w:p>
      <w:pPr>
        <w:spacing w:line="360" w:lineRule="auto"/>
        <w:rPr>
          <w:rFonts w:hint="eastAsia" w:ascii="宋体" w:hAnsi="宋体" w:eastAsia="宋体" w:cs="宋体"/>
          <w:szCs w:val="24"/>
          <w:highlight w:val="none"/>
        </w:rPr>
      </w:pPr>
    </w:p>
    <w:p>
      <w:pPr>
        <w:pStyle w:val="46"/>
        <w:spacing w:line="360" w:lineRule="auto"/>
        <w:rPr>
          <w:rFonts w:hint="eastAsia" w:ascii="宋体" w:hAnsi="宋体" w:eastAsia="宋体" w:cs="宋体"/>
          <w:highlight w:val="none"/>
        </w:rPr>
      </w:pPr>
    </w:p>
    <w:p>
      <w:pPr>
        <w:numPr>
          <w:ilvl w:val="0"/>
          <w:numId w:val="4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评审方法</w:t>
      </w:r>
    </w:p>
    <w:p>
      <w:pPr>
        <w:numPr>
          <w:ilvl w:val="0"/>
          <w:numId w:val="43"/>
        </w:numPr>
        <w:tabs>
          <w:tab w:val="left" w:pos="51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评审方法：综合评分法</w:t>
      </w:r>
    </w:p>
    <w:p>
      <w:pPr>
        <w:numPr>
          <w:ilvl w:val="0"/>
          <w:numId w:val="43"/>
        </w:numPr>
        <w:tabs>
          <w:tab w:val="left" w:pos="51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小组将严格按照本竞争性磋商文件的评审标准与方法，在符合有效磋商范畴且最大限度地满足竞争性磋商文件实质性要求前提下，对供应商进行综合评审和独立评分。评审因素评分以该项“满分值”或“分值”为上限，“0”分为下限。如供应商未能按评审标准中的要求提供相关证明材料的，不能获取相应分值。</w:t>
      </w:r>
    </w:p>
    <w:p>
      <w:pPr>
        <w:numPr>
          <w:ilvl w:val="0"/>
          <w:numId w:val="43"/>
        </w:numPr>
        <w:tabs>
          <w:tab w:val="left" w:pos="51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本项目的分值构成：</w:t>
      </w:r>
    </w:p>
    <w:tbl>
      <w:tblPr>
        <w:tblStyle w:val="44"/>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3307" w:type="dxa"/>
            <w:shd w:val="clear" w:color="auto" w:fill="A4A4A4"/>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评审部分</w:t>
            </w:r>
          </w:p>
        </w:tc>
        <w:tc>
          <w:tcPr>
            <w:tcW w:w="6207" w:type="dxa"/>
            <w:shd w:val="clear" w:color="auto" w:fill="A4A4A4"/>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33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rPr>
            </w:pPr>
            <w:r>
              <w:rPr>
                <w:rFonts w:hint="eastAsia" w:ascii="宋体" w:hAnsi="宋体" w:cs="宋体"/>
                <w:b/>
                <w:szCs w:val="24"/>
                <w:highlight w:val="none"/>
                <w:lang w:val="en-US" w:eastAsia="zh-CN"/>
              </w:rPr>
              <w:t>技术</w:t>
            </w:r>
            <w:r>
              <w:rPr>
                <w:rFonts w:hint="eastAsia" w:ascii="宋体" w:hAnsi="宋体" w:eastAsia="宋体" w:cs="宋体"/>
                <w:b/>
                <w:szCs w:val="24"/>
                <w:highlight w:val="none"/>
              </w:rPr>
              <w:t>部分</w:t>
            </w:r>
          </w:p>
        </w:tc>
        <w:tc>
          <w:tcPr>
            <w:tcW w:w="62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rPr>
            </w:pPr>
            <w:r>
              <w:rPr>
                <w:rFonts w:hint="eastAsia" w:ascii="宋体" w:hAnsi="宋体" w:cs="宋体"/>
                <w:b/>
                <w:szCs w:val="24"/>
                <w:highlight w:val="none"/>
                <w:lang w:val="en-US" w:eastAsia="zh-CN"/>
              </w:rPr>
              <w:t>商务</w:t>
            </w:r>
            <w:r>
              <w:rPr>
                <w:rFonts w:hint="eastAsia" w:ascii="宋体" w:hAnsi="宋体" w:eastAsia="宋体" w:cs="宋体"/>
                <w:b/>
                <w:szCs w:val="24"/>
                <w:highlight w:val="none"/>
              </w:rPr>
              <w:t>部分</w:t>
            </w:r>
          </w:p>
        </w:tc>
        <w:tc>
          <w:tcPr>
            <w:tcW w:w="62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rPr>
            </w:pPr>
            <w:r>
              <w:rPr>
                <w:rFonts w:hint="eastAsia" w:ascii="宋体" w:hAnsi="宋体" w:eastAsia="宋体" w:cs="宋体"/>
                <w:b/>
                <w:szCs w:val="24"/>
                <w:highlight w:val="none"/>
              </w:rPr>
              <w:t>价格部分</w:t>
            </w:r>
          </w:p>
        </w:tc>
        <w:tc>
          <w:tcPr>
            <w:tcW w:w="62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lang w:val="en-US" w:eastAsia="zh-CN"/>
              </w:rPr>
            </w:pPr>
            <w:r>
              <w:rPr>
                <w:rFonts w:hint="eastAsia" w:ascii="宋体" w:hAnsi="宋体" w:cs="宋体"/>
                <w:szCs w:val="24"/>
                <w:highlight w:val="none"/>
                <w:lang w:val="en-US" w:eastAsia="zh-CN"/>
              </w:rPr>
              <w:t>10</w:t>
            </w:r>
          </w:p>
        </w:tc>
      </w:tr>
    </w:tbl>
    <w:p>
      <w:pPr>
        <w:numPr>
          <w:ilvl w:val="0"/>
          <w:numId w:val="43"/>
        </w:numPr>
        <w:tabs>
          <w:tab w:val="left" w:pos="51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评审部分得分及评分汇总：</w:t>
      </w:r>
    </w:p>
    <w:tbl>
      <w:tblPr>
        <w:tblStyle w:val="44"/>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3307" w:type="dxa"/>
            <w:shd w:val="clear" w:color="auto" w:fill="A4A4A4"/>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评审部分得分</w:t>
            </w:r>
          </w:p>
        </w:tc>
        <w:tc>
          <w:tcPr>
            <w:tcW w:w="6207" w:type="dxa"/>
            <w:shd w:val="clear" w:color="auto" w:fill="A4A4A4"/>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得分计算方式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技术部分得分</w:t>
            </w:r>
          </w:p>
        </w:tc>
        <w:tc>
          <w:tcPr>
            <w:tcW w:w="62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商务部分得分</w:t>
            </w:r>
          </w:p>
        </w:tc>
        <w:tc>
          <w:tcPr>
            <w:tcW w:w="62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价格部分得分</w:t>
            </w:r>
          </w:p>
        </w:tc>
        <w:tc>
          <w:tcPr>
            <w:tcW w:w="62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按统一公式计算得分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lang w:val="en-GB"/>
              </w:rPr>
              <w:t>评标总得分</w:t>
            </w:r>
          </w:p>
        </w:tc>
        <w:tc>
          <w:tcPr>
            <w:tcW w:w="6207" w:type="dxa"/>
            <w:vAlign w:val="center"/>
          </w:tcPr>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技术部分得分＋商务部分得分＋价格部分得分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9514" w:type="dxa"/>
            <w:gridSpan w:val="2"/>
            <w:vAlign w:val="center"/>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注：评委评分时可打至小数后第二位，汇总计算时将按四舍五入的原则精确至小数点后两位，如9.99。</w:t>
            </w:r>
          </w:p>
        </w:tc>
      </w:tr>
    </w:tbl>
    <w:p>
      <w:pPr>
        <w:tabs>
          <w:tab w:val="left" w:pos="540"/>
        </w:tabs>
        <w:snapToGrid w:val="0"/>
        <w:spacing w:line="360" w:lineRule="auto"/>
        <w:ind w:left="510"/>
        <w:rPr>
          <w:rFonts w:hint="eastAsia" w:ascii="宋体" w:hAnsi="宋体" w:eastAsia="宋体" w:cs="宋体"/>
          <w:szCs w:val="24"/>
          <w:highlight w:val="none"/>
          <w:lang w:val="en-GB"/>
        </w:rPr>
      </w:pPr>
    </w:p>
    <w:p>
      <w:pPr>
        <w:numPr>
          <w:ilvl w:val="0"/>
          <w:numId w:val="42"/>
        </w:numPr>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评审标准</w:t>
      </w:r>
    </w:p>
    <w:p>
      <w:pPr>
        <w:numPr>
          <w:ilvl w:val="0"/>
          <w:numId w:val="44"/>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US" w:eastAsia="zh-CN"/>
        </w:rPr>
        <w:t>技术</w:t>
      </w:r>
      <w:r>
        <w:rPr>
          <w:rFonts w:hint="eastAsia" w:ascii="宋体" w:hAnsi="宋体" w:eastAsia="宋体" w:cs="宋体"/>
          <w:b/>
          <w:szCs w:val="24"/>
          <w:highlight w:val="none"/>
          <w:lang w:val="en-GB"/>
        </w:rPr>
        <w:t>部分评审标准</w:t>
      </w:r>
    </w:p>
    <w:tbl>
      <w:tblPr>
        <w:tblStyle w:val="44"/>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2901"/>
        <w:gridCol w:w="753"/>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9400" w:type="dxa"/>
            <w:gridSpan w:val="4"/>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b/>
                <w:bCs/>
                <w:kern w:val="0"/>
                <w:sz w:val="24"/>
                <w:szCs w:val="24"/>
                <w:highlight w:val="none"/>
                <w:lang w:val="en-US" w:eastAsia="zh-CN"/>
              </w:rPr>
              <w:t>技术</w:t>
            </w:r>
            <w:r>
              <w:rPr>
                <w:rFonts w:hint="eastAsia" w:ascii="宋体" w:hAnsi="宋体" w:eastAsia="宋体" w:cs="宋体"/>
                <w:b/>
                <w:bCs/>
                <w:kern w:val="0"/>
                <w:sz w:val="24"/>
                <w:szCs w:val="24"/>
                <w:highlight w:val="none"/>
              </w:rPr>
              <w:t>部分（</w:t>
            </w:r>
            <w:r>
              <w:rPr>
                <w:rFonts w:hint="eastAsia" w:ascii="宋体" w:hAnsi="宋体" w:cs="宋体"/>
                <w:b/>
                <w:bCs/>
                <w:kern w:val="0"/>
                <w:sz w:val="24"/>
                <w:szCs w:val="24"/>
                <w:highlight w:val="none"/>
                <w:lang w:val="en-US" w:eastAsia="zh-CN"/>
              </w:rPr>
              <w:t>50</w:t>
            </w:r>
            <w:r>
              <w:rPr>
                <w:rFonts w:hint="eastAsia" w:ascii="宋体" w:hAnsi="宋体" w:eastAsia="宋体" w:cs="宋体"/>
                <w:b/>
                <w:bCs/>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386" w:type="dxa"/>
            <w:gridSpan w:val="2"/>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评审子项</w:t>
            </w:r>
          </w:p>
        </w:tc>
        <w:tc>
          <w:tcPr>
            <w:tcW w:w="753" w:type="dxa"/>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c>
          <w:tcPr>
            <w:tcW w:w="5261" w:type="dxa"/>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评</w:t>
            </w:r>
            <w:r>
              <w:rPr>
                <w:rFonts w:hint="eastAsia" w:ascii="宋体" w:hAnsi="宋体" w:eastAsia="宋体" w:cs="宋体"/>
                <w:sz w:val="24"/>
                <w:szCs w:val="24"/>
                <w:highlight w:val="none"/>
              </w:rPr>
              <w:t>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485" w:type="dxa"/>
            <w:vAlign w:val="center"/>
          </w:tcPr>
          <w:p>
            <w:pPr>
              <w:pStyle w:val="98"/>
              <w:spacing w:line="360" w:lineRule="auto"/>
              <w:ind w:left="170" w:hanging="170"/>
              <w:jc w:val="center"/>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 xml:space="preserve">1 </w:t>
            </w:r>
          </w:p>
        </w:tc>
        <w:tc>
          <w:tcPr>
            <w:tcW w:w="2901"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项目的理解程度</w:t>
            </w:r>
          </w:p>
        </w:tc>
        <w:tc>
          <w:tcPr>
            <w:tcW w:w="753"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5261" w:type="dxa"/>
            <w:vAlign w:val="center"/>
          </w:tcPr>
          <w:p>
            <w:pPr>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对投标人对项目的理解程度进行</w:t>
            </w:r>
            <w:r>
              <w:rPr>
                <w:rFonts w:hint="eastAsia" w:ascii="宋体" w:hAnsi="宋体" w:cs="宋体"/>
                <w:sz w:val="24"/>
                <w:szCs w:val="24"/>
                <w:highlight w:val="none"/>
                <w:lang w:val="en-US" w:eastAsia="zh-CN"/>
              </w:rPr>
              <w:t>综合评审</w:t>
            </w:r>
            <w:r>
              <w:rPr>
                <w:rFonts w:hint="eastAsia" w:ascii="宋体" w:hAnsi="宋体" w:eastAsia="宋体" w:cs="宋体"/>
                <w:sz w:val="24"/>
                <w:szCs w:val="24"/>
                <w:highlight w:val="none"/>
                <w:lang w:val="en-US"/>
              </w:rPr>
              <w:t>：</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rPr>
              <w:t>对项目理解精准，分析到位的，得10分；</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rPr>
              <w:t>对项目理解完整，分析到位的，得7分；</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rPr>
              <w:t>对项目有一定理解和分析的，得5分；</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rPr>
              <w:t>对项目理解有偏差，分析有误的，得2分。</w:t>
            </w:r>
          </w:p>
          <w:p>
            <w:pPr>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 xml:space="preserve">2 </w:t>
            </w:r>
          </w:p>
        </w:tc>
        <w:tc>
          <w:tcPr>
            <w:tcW w:w="2901" w:type="dxa"/>
            <w:vAlign w:val="center"/>
          </w:tcPr>
          <w:p>
            <w:pPr>
              <w:pStyle w:val="90"/>
              <w:tabs>
                <w:tab w:val="left" w:pos="458"/>
              </w:tabs>
              <w:spacing w:line="36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本项目的重难点分析</w:t>
            </w:r>
          </w:p>
        </w:tc>
        <w:tc>
          <w:tcPr>
            <w:tcW w:w="753" w:type="dxa"/>
            <w:vAlign w:val="center"/>
          </w:tcPr>
          <w:p>
            <w:pPr>
              <w:spacing w:line="360" w:lineRule="auto"/>
              <w:jc w:val="center"/>
              <w:rPr>
                <w:rFonts w:hint="eastAsia" w:ascii="宋体" w:hAnsi="宋体" w:eastAsia="宋体" w:cs="宋体"/>
                <w:b/>
                <w:bCs/>
                <w:sz w:val="24"/>
                <w:szCs w:val="24"/>
                <w:highlight w:val="none"/>
                <w:lang w:val="en-US" w:eastAsia="zh-CN"/>
              </w:rPr>
            </w:pPr>
            <w:r>
              <w:rPr>
                <w:rFonts w:hint="eastAsia" w:ascii="宋体" w:hAnsi="宋体"/>
                <w:sz w:val="24"/>
                <w:szCs w:val="24"/>
                <w:highlight w:val="none"/>
              </w:rPr>
              <w:t>10</w:t>
            </w:r>
          </w:p>
        </w:tc>
        <w:tc>
          <w:tcPr>
            <w:tcW w:w="5261"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针对本项目的重点、难点进行分析并提出解决方案</w:t>
            </w:r>
            <w:r>
              <w:rPr>
                <w:rFonts w:hint="eastAsia" w:ascii="宋体" w:hAnsi="宋体" w:cs="宋体"/>
                <w:sz w:val="24"/>
                <w:szCs w:val="24"/>
                <w:highlight w:val="none"/>
                <w:lang w:val="en-US" w:eastAsia="zh-CN"/>
              </w:rPr>
              <w:t>进行综合评审</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重点、难点分析精准，提出有效可行的解决方案的，得10分；</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重点、难点分析准确，提出有效的解决方案的，得7分；</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重点、难点分析有偏差，有提出解决方案的，得5分；</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重点、难点分析不准确，解决方案可行性差的，得2分。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highlight w:val="none"/>
                <w:lang w:val="en-US" w:eastAsia="zh-CN"/>
              </w:rPr>
              <w:t>3</w:t>
            </w:r>
          </w:p>
        </w:tc>
        <w:tc>
          <w:tcPr>
            <w:tcW w:w="2901" w:type="dxa"/>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实施方案</w:t>
            </w:r>
          </w:p>
        </w:tc>
        <w:tc>
          <w:tcPr>
            <w:tcW w:w="753"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5261" w:type="dxa"/>
            <w:vAlign w:val="center"/>
          </w:tcPr>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实施方案是否满足招标文件要求，对工作计划全面性、可操作性进行</w:t>
            </w:r>
            <w:r>
              <w:rPr>
                <w:rFonts w:hint="eastAsia" w:ascii="宋体" w:hAnsi="宋体" w:cs="宋体"/>
                <w:bCs/>
                <w:sz w:val="24"/>
                <w:szCs w:val="24"/>
                <w:highlight w:val="none"/>
                <w:lang w:val="en-US" w:eastAsia="zh-CN"/>
              </w:rPr>
              <w:t>综合评审</w:t>
            </w:r>
            <w:r>
              <w:rPr>
                <w:rFonts w:hint="eastAsia" w:ascii="宋体" w:hAnsi="宋体" w:eastAsia="宋体" w:cs="宋体"/>
                <w:bCs/>
                <w:sz w:val="24"/>
                <w:szCs w:val="24"/>
                <w:highlight w:val="none"/>
              </w:rPr>
              <w:t>:</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1、</w:t>
            </w:r>
            <w:r>
              <w:rPr>
                <w:rFonts w:hint="eastAsia" w:ascii="宋体" w:hAnsi="宋体" w:eastAsia="宋体" w:cs="宋体"/>
                <w:bCs/>
                <w:sz w:val="24"/>
                <w:szCs w:val="24"/>
                <w:highlight w:val="none"/>
              </w:rPr>
              <w:t>方案完全满足或优于用户需求，工作计划科学全面，可操作性强的，得10分；</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2、</w:t>
            </w:r>
            <w:r>
              <w:rPr>
                <w:rFonts w:hint="eastAsia" w:ascii="宋体" w:hAnsi="宋体" w:eastAsia="宋体" w:cs="宋体"/>
                <w:bCs/>
                <w:sz w:val="24"/>
                <w:szCs w:val="24"/>
                <w:highlight w:val="none"/>
              </w:rPr>
              <w:t>方案满足用户需求，工作计划全面，可操作性强的，得7分；</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3、</w:t>
            </w:r>
            <w:r>
              <w:rPr>
                <w:rFonts w:hint="eastAsia" w:ascii="宋体" w:hAnsi="宋体" w:eastAsia="宋体" w:cs="宋体"/>
                <w:bCs/>
                <w:sz w:val="24"/>
                <w:szCs w:val="24"/>
                <w:highlight w:val="none"/>
              </w:rPr>
              <w:t>方案有部分不满足用户需求，工作计划不全面，可操作性一般的，得5分；</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4、</w:t>
            </w:r>
            <w:r>
              <w:rPr>
                <w:rFonts w:hint="eastAsia" w:ascii="宋体" w:hAnsi="宋体" w:eastAsia="宋体" w:cs="宋体"/>
                <w:bCs/>
                <w:sz w:val="24"/>
                <w:szCs w:val="24"/>
                <w:highlight w:val="none"/>
              </w:rPr>
              <w:t>方案难以满足用户需求，工作计划有缺失，可操作性差的，得2分；</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highlight w:val="none"/>
                <w:lang w:val="en-US" w:eastAsia="zh-CN"/>
              </w:rPr>
              <w:t>4</w:t>
            </w:r>
          </w:p>
        </w:tc>
        <w:tc>
          <w:tcPr>
            <w:tcW w:w="2901"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hAnsi="宋体"/>
                <w:bCs/>
                <w:szCs w:val="21"/>
                <w:highlight w:val="none"/>
              </w:rPr>
              <w:t>福利待遇方案</w:t>
            </w:r>
          </w:p>
        </w:tc>
        <w:tc>
          <w:tcPr>
            <w:tcW w:w="753"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sz w:val="24"/>
                <w:szCs w:val="24"/>
                <w:highlight w:val="none"/>
              </w:rPr>
              <w:t>10</w:t>
            </w:r>
          </w:p>
        </w:tc>
        <w:tc>
          <w:tcPr>
            <w:tcW w:w="5261" w:type="dxa"/>
            <w:vAlign w:val="center"/>
          </w:tcPr>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根据各供应商提供针对投入本项目</w:t>
            </w:r>
            <w:r>
              <w:rPr>
                <w:rFonts w:hint="eastAsia" w:cs="宋体"/>
                <w:sz w:val="24"/>
                <w:szCs w:val="24"/>
                <w:highlight w:val="none"/>
                <w:lang w:val="en-US" w:eastAsia="zh-CN"/>
              </w:rPr>
              <w:t>人员</w:t>
            </w:r>
            <w:r>
              <w:rPr>
                <w:rFonts w:hint="eastAsia" w:ascii="宋体" w:hAnsi="宋体" w:eastAsia="宋体" w:cs="宋体"/>
                <w:sz w:val="24"/>
                <w:szCs w:val="24"/>
                <w:highlight w:val="none"/>
              </w:rPr>
              <w:t>的福利</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待遇方案</w:t>
            </w:r>
            <w:r>
              <w:rPr>
                <w:rFonts w:hint="eastAsia" w:cs="宋体"/>
                <w:sz w:val="24"/>
                <w:szCs w:val="24"/>
                <w:highlight w:val="none"/>
                <w:lang w:val="en-US" w:eastAsia="zh-CN"/>
              </w:rPr>
              <w:t>进行</w:t>
            </w:r>
            <w:r>
              <w:rPr>
                <w:rFonts w:hint="eastAsia" w:ascii="宋体" w:hAnsi="宋体" w:cs="宋体"/>
                <w:bCs/>
                <w:sz w:val="24"/>
                <w:szCs w:val="24"/>
                <w:highlight w:val="none"/>
                <w:lang w:val="en-US" w:eastAsia="zh-CN"/>
              </w:rPr>
              <w:t>综合评审</w:t>
            </w:r>
            <w:r>
              <w:rPr>
                <w:rFonts w:hint="eastAsia" w:ascii="宋体" w:hAnsi="宋体" w:eastAsia="宋体" w:cs="宋体"/>
                <w:sz w:val="24"/>
                <w:szCs w:val="24"/>
                <w:highlight w:val="none"/>
              </w:rPr>
              <w:t>：</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1、</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人员薪酬、服务人员福利）针对性强，详细清晰，</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操作性高的，得10分；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2、</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人员薪酬、服务人员福利）针对性较强，较详细</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清晰，操作性较高的，得7分；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3、</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人员薪酬、服务人员福利）针对性一般，不够详细清晰，操作性一般的，得5分；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4、</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人员薪酬、服务人员福利）针对性差，不详细清</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晰，操作性差的，得2分</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【不提供</w:t>
            </w:r>
            <w:r>
              <w:rPr>
                <w:rFonts w:hint="eastAsia" w:cs="宋体"/>
                <w:sz w:val="24"/>
                <w:szCs w:val="24"/>
                <w:highlight w:val="none"/>
                <w:lang w:val="en-US" w:eastAsia="zh-CN"/>
              </w:rPr>
              <w:t>或提供不全</w:t>
            </w:r>
            <w:r>
              <w:rPr>
                <w:rFonts w:hint="eastAsia" w:ascii="宋体" w:hAnsi="宋体" w:eastAsia="宋体" w:cs="宋体"/>
                <w:sz w:val="24"/>
                <w:szCs w:val="24"/>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highlight w:val="none"/>
                <w:lang w:val="en-US" w:eastAsia="zh-CN"/>
              </w:rPr>
              <w:t>5</w:t>
            </w:r>
          </w:p>
        </w:tc>
        <w:tc>
          <w:tcPr>
            <w:tcW w:w="2901"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应急处理方案</w:t>
            </w:r>
          </w:p>
        </w:tc>
        <w:tc>
          <w:tcPr>
            <w:tcW w:w="753"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Cs w:val="21"/>
                <w:highlight w:val="none"/>
              </w:rPr>
              <w:t>10</w:t>
            </w:r>
          </w:p>
        </w:tc>
        <w:tc>
          <w:tcPr>
            <w:tcW w:w="5261" w:type="dxa"/>
            <w:vAlign w:val="center"/>
          </w:tcPr>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针对本项目的可能出现的突发事项进行分析并提出解决方案的</w:t>
            </w:r>
            <w:r>
              <w:rPr>
                <w:rFonts w:hint="eastAsia" w:ascii="宋体" w:hAnsi="宋体" w:cs="宋体"/>
                <w:bCs/>
                <w:sz w:val="24"/>
                <w:szCs w:val="24"/>
                <w:highlight w:val="none"/>
                <w:lang w:val="en-US" w:eastAsia="zh-CN"/>
              </w:rPr>
              <w:t>综合评审</w:t>
            </w:r>
            <w:r>
              <w:rPr>
                <w:rFonts w:hint="eastAsia" w:ascii="宋体" w:hAnsi="宋体" w:eastAsia="宋体" w:cs="宋体"/>
                <w:sz w:val="24"/>
                <w:szCs w:val="24"/>
                <w:highlight w:val="none"/>
              </w:rPr>
              <w:t>：</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1、</w:t>
            </w:r>
            <w:r>
              <w:rPr>
                <w:rFonts w:hint="eastAsia" w:ascii="宋体" w:hAnsi="宋体" w:eastAsia="宋体" w:cs="宋体"/>
                <w:sz w:val="24"/>
                <w:szCs w:val="24"/>
                <w:highlight w:val="none"/>
              </w:rPr>
              <w:t>分析精准，提出有效可行的解决方案的，得10分；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2、</w:t>
            </w:r>
            <w:r>
              <w:rPr>
                <w:rFonts w:hint="eastAsia" w:ascii="宋体" w:hAnsi="宋体" w:eastAsia="宋体" w:cs="宋体"/>
                <w:sz w:val="24"/>
                <w:szCs w:val="24"/>
                <w:highlight w:val="none"/>
              </w:rPr>
              <w:t>分析准确，提出有效的解决方案的，得7分；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3、</w:t>
            </w:r>
            <w:r>
              <w:rPr>
                <w:rFonts w:hint="eastAsia" w:ascii="宋体" w:hAnsi="宋体" w:eastAsia="宋体" w:cs="宋体"/>
                <w:sz w:val="24"/>
                <w:szCs w:val="24"/>
                <w:highlight w:val="none"/>
              </w:rPr>
              <w:t>分析有偏差，有提出解决方案的，得5分；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4、</w:t>
            </w:r>
            <w:r>
              <w:rPr>
                <w:rFonts w:hint="eastAsia" w:ascii="宋体" w:hAnsi="宋体" w:eastAsia="宋体" w:cs="宋体"/>
                <w:sz w:val="24"/>
                <w:szCs w:val="24"/>
                <w:highlight w:val="none"/>
              </w:rPr>
              <w:t>分析不准确，解决方案可行性差的，得2分。</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【不提供不得分】</w:t>
            </w:r>
          </w:p>
        </w:tc>
      </w:tr>
    </w:tbl>
    <w:p>
      <w:pPr>
        <w:pStyle w:val="12"/>
        <w:spacing w:line="360" w:lineRule="auto"/>
        <w:ind w:firstLine="0" w:firstLineChars="0"/>
        <w:rPr>
          <w:rFonts w:hint="eastAsia" w:ascii="宋体" w:hAnsi="宋体" w:eastAsia="宋体" w:cs="宋体"/>
          <w:sz w:val="24"/>
          <w:szCs w:val="24"/>
          <w:highlight w:val="none"/>
        </w:rPr>
      </w:pPr>
    </w:p>
    <w:p>
      <w:pPr>
        <w:numPr>
          <w:ilvl w:val="0"/>
          <w:numId w:val="44"/>
        </w:numPr>
        <w:tabs>
          <w:tab w:val="left" w:pos="420"/>
          <w:tab w:val="left" w:pos="540"/>
        </w:tabs>
        <w:snapToGrid w:val="0"/>
        <w:spacing w:line="360" w:lineRule="auto"/>
        <w:rPr>
          <w:rFonts w:hint="eastAsia" w:ascii="宋体" w:hAnsi="宋体" w:eastAsia="宋体" w:cs="宋体"/>
          <w:b/>
          <w:sz w:val="24"/>
          <w:szCs w:val="24"/>
          <w:highlight w:val="none"/>
          <w:lang w:val="en-GB"/>
        </w:rPr>
      </w:pPr>
      <w:r>
        <w:rPr>
          <w:rFonts w:hint="eastAsia" w:ascii="宋体" w:hAnsi="宋体" w:eastAsia="宋体" w:cs="宋体"/>
          <w:b/>
          <w:sz w:val="24"/>
          <w:szCs w:val="24"/>
          <w:highlight w:val="none"/>
          <w:lang w:val="en-US" w:eastAsia="zh-CN"/>
        </w:rPr>
        <w:t>商务</w:t>
      </w:r>
      <w:r>
        <w:rPr>
          <w:rFonts w:hint="eastAsia" w:ascii="宋体" w:hAnsi="宋体" w:eastAsia="宋体" w:cs="宋体"/>
          <w:b/>
          <w:sz w:val="24"/>
          <w:szCs w:val="24"/>
          <w:highlight w:val="none"/>
          <w:lang w:val="en-GB"/>
        </w:rPr>
        <w:t>部分评审标准</w:t>
      </w:r>
    </w:p>
    <w:tbl>
      <w:tblPr>
        <w:tblStyle w:val="44"/>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485"/>
        <w:gridCol w:w="87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400" w:type="dxa"/>
            <w:gridSpan w:val="4"/>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b/>
                <w:bCs/>
                <w:kern w:val="0"/>
                <w:sz w:val="24"/>
                <w:szCs w:val="24"/>
                <w:highlight w:val="none"/>
                <w:lang w:val="en-US" w:eastAsia="zh-CN"/>
              </w:rPr>
              <w:t>商务</w:t>
            </w:r>
            <w:r>
              <w:rPr>
                <w:rFonts w:hint="eastAsia" w:ascii="宋体" w:hAnsi="宋体" w:eastAsia="宋体" w:cs="宋体"/>
                <w:b/>
                <w:bCs/>
                <w:kern w:val="0"/>
                <w:sz w:val="24"/>
                <w:szCs w:val="24"/>
                <w:highlight w:val="none"/>
              </w:rPr>
              <w:t>部分（</w:t>
            </w:r>
            <w:r>
              <w:rPr>
                <w:rFonts w:hint="eastAsia" w:ascii="宋体" w:hAnsi="宋体" w:cs="宋体"/>
                <w:b/>
                <w:bCs/>
                <w:kern w:val="0"/>
                <w:sz w:val="24"/>
                <w:szCs w:val="24"/>
                <w:highlight w:val="none"/>
                <w:lang w:val="en-US" w:eastAsia="zh-CN"/>
              </w:rPr>
              <w:t>40</w:t>
            </w:r>
            <w:r>
              <w:rPr>
                <w:rFonts w:hint="eastAsia" w:ascii="宋体" w:hAnsi="宋体" w:eastAsia="宋体" w:cs="宋体"/>
                <w:b/>
                <w:bCs/>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4" w:type="dxa"/>
            <w:gridSpan w:val="2"/>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商务</w:t>
            </w:r>
            <w:r>
              <w:rPr>
                <w:rFonts w:hint="eastAsia" w:ascii="宋体" w:hAnsi="宋体" w:eastAsia="宋体" w:cs="宋体"/>
                <w:sz w:val="24"/>
                <w:szCs w:val="24"/>
                <w:highlight w:val="none"/>
              </w:rPr>
              <w:t>评审子项</w:t>
            </w:r>
          </w:p>
        </w:tc>
        <w:tc>
          <w:tcPr>
            <w:tcW w:w="875" w:type="dxa"/>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c>
          <w:tcPr>
            <w:tcW w:w="5501" w:type="dxa"/>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2485" w:type="dxa"/>
            <w:vAlign w:val="center"/>
          </w:tcPr>
          <w:p>
            <w:pPr>
              <w:spacing w:line="360" w:lineRule="auto"/>
              <w:jc w:val="center"/>
              <w:rPr>
                <w:rFonts w:hint="eastAsia" w:ascii="Times New Roman" w:hAnsi="Times New Roman" w:eastAsia="宋体" w:cs="Times New Roman"/>
                <w:b/>
                <w:bCs/>
                <w:kern w:val="2"/>
                <w:sz w:val="24"/>
                <w:szCs w:val="24"/>
                <w:highlight w:val="yellow"/>
                <w:lang w:val="en-US" w:eastAsia="zh-CN" w:bidi="ar-SA"/>
              </w:rPr>
            </w:pPr>
            <w:r>
              <w:rPr>
                <w:rFonts w:hint="eastAsia"/>
              </w:rPr>
              <w:t>商务条款响应程度评价</w:t>
            </w:r>
          </w:p>
        </w:tc>
        <w:tc>
          <w:tcPr>
            <w:tcW w:w="875" w:type="dxa"/>
            <w:vAlign w:val="center"/>
          </w:tcPr>
          <w:p>
            <w:pPr>
              <w:spacing w:line="360" w:lineRule="auto"/>
              <w:jc w:val="center"/>
              <w:rPr>
                <w:rFonts w:hint="default" w:ascii="Times New Roman" w:hAnsi="Times New Roman" w:eastAsia="宋体" w:cs="Times New Roman"/>
                <w:b/>
                <w:bCs/>
                <w:kern w:val="2"/>
                <w:sz w:val="24"/>
                <w:szCs w:val="24"/>
                <w:highlight w:val="yellow"/>
                <w:lang w:val="en-US" w:eastAsia="zh-CN" w:bidi="ar-SA"/>
              </w:rPr>
            </w:pPr>
            <w:r>
              <w:rPr>
                <w:rFonts w:hint="eastAsia" w:ascii="宋体" w:hAnsi="宋体"/>
                <w:color w:val="000000"/>
                <w:szCs w:val="21"/>
                <w:lang w:val="en-US" w:eastAsia="zh-CN"/>
              </w:rPr>
              <w:t>5</w:t>
            </w:r>
          </w:p>
        </w:tc>
        <w:tc>
          <w:tcPr>
            <w:tcW w:w="5501" w:type="dxa"/>
            <w:vAlign w:val="center"/>
          </w:tcPr>
          <w:p>
            <w:pPr>
              <w:spacing w:line="276" w:lineRule="auto"/>
              <w:jc w:val="left"/>
              <w:rPr>
                <w:rFonts w:hint="eastAsia" w:ascii="Times New Roman" w:hAnsi="Times New Roman" w:eastAsia="宋体" w:cs="Times New Roman"/>
                <w:kern w:val="2"/>
                <w:sz w:val="24"/>
                <w:szCs w:val="22"/>
                <w:lang w:val="en-US" w:eastAsia="zh-CN" w:bidi="ar-SA"/>
              </w:rPr>
            </w:pPr>
            <w:r>
              <w:rPr>
                <w:rFonts w:hint="eastAsia"/>
              </w:rPr>
              <w:t>根据投标人对《商务条款响应表》非实质性条款的响应情况进行评价。能完全响应或优于得</w:t>
            </w:r>
            <w:r>
              <w:rPr>
                <w:rFonts w:hint="eastAsia"/>
                <w:lang w:eastAsia="zh-CN"/>
              </w:rPr>
              <w:t>5</w:t>
            </w:r>
            <w:r>
              <w:rPr>
                <w:rFonts w:hint="eastAsia"/>
              </w:rPr>
              <w:t>分，不响应或负偏离扣1分/项，扣完为止。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2485" w:type="dxa"/>
            <w:vAlign w:val="center"/>
          </w:tcPr>
          <w:p>
            <w:pPr>
              <w:spacing w:line="360" w:lineRule="auto"/>
              <w:jc w:val="center"/>
              <w:rPr>
                <w:rFonts w:hint="eastAsia" w:ascii="宋体" w:hAnsi="宋体" w:eastAsia="宋体" w:cs="宋体"/>
                <w:i w:val="0"/>
                <w:iCs w:val="0"/>
                <w:sz w:val="24"/>
                <w:szCs w:val="24"/>
                <w:highlight w:val="none"/>
                <w:lang w:val="en-US" w:eastAsia="zh-CN"/>
              </w:rPr>
            </w:pPr>
            <w:r>
              <w:rPr>
                <w:rFonts w:hint="eastAsia" w:ascii="宋体" w:hAnsi="宋体" w:cs="宋体"/>
                <w:i w:val="0"/>
                <w:iCs w:val="0"/>
                <w:szCs w:val="21"/>
                <w:highlight w:val="none"/>
              </w:rPr>
              <w:t>资质及认证</w:t>
            </w:r>
          </w:p>
        </w:tc>
        <w:tc>
          <w:tcPr>
            <w:tcW w:w="875" w:type="dxa"/>
            <w:vAlign w:val="center"/>
          </w:tcPr>
          <w:p>
            <w:pPr>
              <w:snapToGrid w:val="0"/>
              <w:spacing w:line="360" w:lineRule="auto"/>
              <w:jc w:val="center"/>
              <w:rPr>
                <w:rFonts w:hint="default" w:ascii="宋体" w:hAnsi="宋体" w:eastAsia="宋体" w:cs="宋体"/>
                <w:i w:val="0"/>
                <w:iCs w:val="0"/>
                <w:sz w:val="24"/>
                <w:szCs w:val="24"/>
                <w:highlight w:val="none"/>
                <w:lang w:val="en-US" w:eastAsia="zh-CN"/>
              </w:rPr>
            </w:pPr>
            <w:r>
              <w:rPr>
                <w:rFonts w:hint="eastAsia" w:ascii="宋体" w:hAnsi="宋体" w:cs="宋体"/>
                <w:i w:val="0"/>
                <w:iCs w:val="0"/>
                <w:sz w:val="24"/>
                <w:szCs w:val="24"/>
                <w:highlight w:val="none"/>
                <w:lang w:val="en-US" w:eastAsia="zh-CN"/>
              </w:rPr>
              <w:t>15</w:t>
            </w:r>
          </w:p>
        </w:tc>
        <w:tc>
          <w:tcPr>
            <w:tcW w:w="5501" w:type="dxa"/>
            <w:vAlign w:val="center"/>
          </w:tcPr>
          <w:p>
            <w:pPr>
              <w:spacing w:line="360" w:lineRule="auto"/>
              <w:rPr>
                <w:rFonts w:hint="eastAsia"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供应商具有以下有效</w:t>
            </w:r>
            <w:r>
              <w:rPr>
                <w:rFonts w:hint="eastAsia" w:ascii="宋体" w:hAnsi="宋体" w:cs="宋体"/>
                <w:i w:val="0"/>
                <w:iCs w:val="0"/>
                <w:sz w:val="24"/>
                <w:szCs w:val="24"/>
                <w:highlight w:val="none"/>
                <w:lang w:val="en-US" w:eastAsia="zh-CN"/>
              </w:rPr>
              <w:t>的</w:t>
            </w:r>
            <w:r>
              <w:rPr>
                <w:rFonts w:hint="eastAsia" w:ascii="宋体" w:hAnsi="宋体" w:eastAsia="宋体" w:cs="宋体"/>
                <w:i w:val="0"/>
                <w:iCs w:val="0"/>
                <w:sz w:val="24"/>
                <w:szCs w:val="24"/>
                <w:highlight w:val="none"/>
                <w:lang w:val="en-US" w:eastAsia="zh-CN"/>
              </w:rPr>
              <w:t>认证证书</w:t>
            </w:r>
            <w:r>
              <w:rPr>
                <w:rFonts w:hint="eastAsia" w:ascii="宋体" w:hAnsi="宋体" w:cs="宋体"/>
                <w:i w:val="0"/>
                <w:iCs w:val="0"/>
                <w:sz w:val="24"/>
                <w:szCs w:val="24"/>
                <w:highlight w:val="none"/>
                <w:lang w:val="en-US" w:eastAsia="zh-CN"/>
              </w:rPr>
              <w:t>：</w:t>
            </w:r>
          </w:p>
          <w:p>
            <w:pPr>
              <w:spacing w:line="360" w:lineRule="auto"/>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①</w:t>
            </w:r>
            <w:r>
              <w:rPr>
                <w:rFonts w:hint="eastAsia" w:ascii="宋体" w:hAnsi="宋体" w:cs="宋体"/>
                <w:i w:val="0"/>
                <w:iCs w:val="0"/>
                <w:sz w:val="24"/>
                <w:szCs w:val="24"/>
                <w:highlight w:val="none"/>
                <w:lang w:val="en-US" w:eastAsia="zh-CN"/>
              </w:rPr>
              <w:t>具有有效的</w:t>
            </w:r>
            <w:r>
              <w:rPr>
                <w:rFonts w:hint="eastAsia" w:ascii="宋体" w:hAnsi="宋体" w:eastAsia="宋体" w:cs="宋体"/>
                <w:i w:val="0"/>
                <w:iCs w:val="0"/>
                <w:sz w:val="24"/>
                <w:szCs w:val="24"/>
                <w:highlight w:val="none"/>
                <w:lang w:val="en-US" w:eastAsia="zh-CN"/>
              </w:rPr>
              <w:t>质量管理体系认证证书</w:t>
            </w:r>
            <w:r>
              <w:rPr>
                <w:rFonts w:hint="eastAsia" w:ascii="宋体" w:hAnsi="宋体" w:cs="宋体"/>
                <w:i w:val="0"/>
                <w:iCs w:val="0"/>
                <w:sz w:val="24"/>
                <w:szCs w:val="24"/>
                <w:highlight w:val="none"/>
                <w:lang w:val="en-US" w:eastAsia="zh-CN"/>
              </w:rPr>
              <w:t>，得5分；</w:t>
            </w:r>
          </w:p>
          <w:p>
            <w:pPr>
              <w:spacing w:line="360" w:lineRule="auto"/>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②</w:t>
            </w:r>
            <w:r>
              <w:rPr>
                <w:rFonts w:hint="eastAsia" w:ascii="宋体" w:hAnsi="宋体" w:cs="宋体"/>
                <w:i w:val="0"/>
                <w:iCs w:val="0"/>
                <w:sz w:val="24"/>
                <w:szCs w:val="24"/>
                <w:highlight w:val="none"/>
                <w:lang w:val="en-US" w:eastAsia="zh-CN"/>
              </w:rPr>
              <w:t>具有有效的</w:t>
            </w:r>
            <w:r>
              <w:rPr>
                <w:rFonts w:hint="eastAsia" w:ascii="宋体" w:hAnsi="宋体" w:eastAsia="宋体" w:cs="宋体"/>
                <w:i w:val="0"/>
                <w:iCs w:val="0"/>
                <w:sz w:val="24"/>
                <w:szCs w:val="24"/>
                <w:highlight w:val="none"/>
                <w:lang w:val="en-US" w:eastAsia="zh-CN"/>
              </w:rPr>
              <w:t>环境管理体系认证证书</w:t>
            </w:r>
            <w:r>
              <w:rPr>
                <w:rFonts w:hint="eastAsia" w:ascii="宋体" w:hAnsi="宋体" w:cs="宋体"/>
                <w:i w:val="0"/>
                <w:iCs w:val="0"/>
                <w:sz w:val="24"/>
                <w:szCs w:val="24"/>
                <w:highlight w:val="none"/>
                <w:lang w:val="en-US" w:eastAsia="zh-CN"/>
              </w:rPr>
              <w:t>，得5分；</w:t>
            </w:r>
          </w:p>
          <w:p>
            <w:pPr>
              <w:spacing w:line="360" w:lineRule="auto"/>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③</w:t>
            </w:r>
            <w:r>
              <w:rPr>
                <w:rFonts w:hint="eastAsia" w:ascii="宋体" w:hAnsi="宋体" w:cs="宋体"/>
                <w:i w:val="0"/>
                <w:iCs w:val="0"/>
                <w:sz w:val="24"/>
                <w:szCs w:val="24"/>
                <w:highlight w:val="none"/>
                <w:lang w:val="en-US" w:eastAsia="zh-CN"/>
              </w:rPr>
              <w:t>具有有效的</w:t>
            </w:r>
            <w:r>
              <w:rPr>
                <w:rFonts w:hint="eastAsia" w:ascii="宋体" w:hAnsi="宋体" w:eastAsia="宋体" w:cs="宋体"/>
                <w:i w:val="0"/>
                <w:iCs w:val="0"/>
                <w:sz w:val="24"/>
                <w:szCs w:val="24"/>
                <w:highlight w:val="none"/>
                <w:lang w:val="en-US" w:eastAsia="zh-CN"/>
              </w:rPr>
              <w:t>职业健康安全管理体系认证证书</w:t>
            </w:r>
            <w:r>
              <w:rPr>
                <w:rFonts w:hint="eastAsia" w:ascii="宋体" w:hAnsi="宋体" w:cs="宋体"/>
                <w:i w:val="0"/>
                <w:iCs w:val="0"/>
                <w:sz w:val="24"/>
                <w:szCs w:val="24"/>
                <w:highlight w:val="none"/>
                <w:lang w:val="en-US" w:eastAsia="zh-CN"/>
              </w:rPr>
              <w:t>，得5分；</w:t>
            </w:r>
          </w:p>
          <w:p>
            <w:pPr>
              <w:spacing w:line="360" w:lineRule="auto"/>
              <w:rPr>
                <w:rFonts w:hint="eastAsia" w:ascii="宋体" w:hAnsi="宋体" w:eastAsia="宋体" w:cs="宋体"/>
                <w:i w:val="0"/>
                <w:iCs w:val="0"/>
                <w:sz w:val="24"/>
                <w:szCs w:val="24"/>
                <w:highlight w:val="none"/>
                <w:lang w:val="en-US" w:eastAsia="zh-CN"/>
              </w:rPr>
            </w:pPr>
            <w:r>
              <w:rPr>
                <w:rFonts w:hint="eastAsia" w:ascii="宋体" w:hAnsi="宋体" w:eastAsia="宋体" w:cs="宋体"/>
                <w:b/>
                <w:bCs/>
                <w:i w:val="0"/>
                <w:iCs w:val="0"/>
                <w:sz w:val="24"/>
                <w:szCs w:val="24"/>
                <w:highlight w:val="none"/>
                <w:lang w:val="en-US" w:eastAsia="zh-CN"/>
              </w:rPr>
              <w:t>注：须提供上述有效期内的证书复印件并加盖供应商公章，不提供或提供不全的不得分。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2485"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同类项目业绩</w:t>
            </w:r>
          </w:p>
        </w:tc>
        <w:tc>
          <w:tcPr>
            <w:tcW w:w="875"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15</w:t>
            </w:r>
          </w:p>
        </w:tc>
        <w:tc>
          <w:tcPr>
            <w:tcW w:w="5501"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2019年1月1日至今（以合同签订时间为准）独立承担过同类项目的， 每提供一个得5分，最高得</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分。</w:t>
            </w:r>
          </w:p>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sz w:val="24"/>
                <w:szCs w:val="24"/>
                <w:highlight w:val="none"/>
              </w:rPr>
              <w:t>注：须提供以上中标通知书复印件、合同关键页复印件作为证明材料并加盖公章。提供不完整或不提供不得分。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2485" w:type="dxa"/>
            <w:vAlign w:val="center"/>
          </w:tcPr>
          <w:p>
            <w:pPr>
              <w:autoSpaceDE w:val="0"/>
              <w:autoSpaceDN w:val="0"/>
              <w:adjustRightIn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服务售后及快速应急响应服务能力</w:t>
            </w:r>
          </w:p>
        </w:tc>
        <w:tc>
          <w:tcPr>
            <w:tcW w:w="875" w:type="dxa"/>
            <w:vAlign w:val="center"/>
          </w:tcPr>
          <w:p>
            <w:pPr>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highlight w:val="none"/>
                <w:lang w:val="en-US" w:eastAsia="zh-CN"/>
              </w:rPr>
              <w:t>5</w:t>
            </w:r>
          </w:p>
        </w:tc>
        <w:tc>
          <w:tcPr>
            <w:tcW w:w="5501" w:type="dxa"/>
            <w:vAlign w:val="center"/>
          </w:tcPr>
          <w:p>
            <w:pPr>
              <w:spacing w:line="360" w:lineRule="auto"/>
              <w:jc w:val="left"/>
              <w:rPr>
                <w:rFonts w:hint="eastAsia" w:ascii="宋体" w:hAnsi="宋体"/>
                <w:szCs w:val="21"/>
                <w:highlight w:val="none"/>
              </w:rPr>
            </w:pPr>
            <w:r>
              <w:rPr>
                <w:rFonts w:hint="eastAsia" w:ascii="宋体" w:hAnsi="宋体"/>
                <w:szCs w:val="21"/>
                <w:highlight w:val="none"/>
              </w:rPr>
              <w:t>根据各供应商快速响应采购人服务要求的可行性及优越性,总公司或分支机构营业执照副本地址或办公地点在地图上于本项目采购人所在地（</w:t>
            </w:r>
            <w:r>
              <w:rPr>
                <w:rFonts w:hint="eastAsia" w:ascii="宋体" w:hAnsi="宋体" w:cs="宋体"/>
                <w:szCs w:val="24"/>
                <w:highlight w:val="none"/>
              </w:rPr>
              <w:t>佛山市禅城区</w:t>
            </w:r>
            <w:r>
              <w:rPr>
                <w:rFonts w:hint="eastAsia" w:ascii="宋体" w:hAnsi="宋体" w:cs="宋体"/>
                <w:szCs w:val="24"/>
                <w:highlight w:val="none"/>
                <w:lang w:eastAsia="zh-CN"/>
              </w:rPr>
              <w:t>金鱼街</w:t>
            </w:r>
            <w:r>
              <w:rPr>
                <w:rFonts w:hint="eastAsia" w:ascii="宋体" w:hAnsi="宋体" w:cs="宋体"/>
                <w:szCs w:val="24"/>
                <w:highlight w:val="none"/>
                <w:lang w:val="en-US" w:eastAsia="zh-CN"/>
              </w:rPr>
              <w:t>113号（佛山市水利局大院内）</w:t>
            </w:r>
            <w:r>
              <w:rPr>
                <w:rFonts w:hint="eastAsia" w:ascii="宋体" w:hAnsi="宋体"/>
                <w:szCs w:val="21"/>
                <w:highlight w:val="none"/>
              </w:rPr>
              <w:t>）距离远近进行</w:t>
            </w:r>
            <w:r>
              <w:rPr>
                <w:rFonts w:hint="eastAsia" w:ascii="宋体" w:hAnsi="宋体"/>
                <w:szCs w:val="21"/>
                <w:highlight w:val="none"/>
                <w:lang w:val="en-US" w:eastAsia="zh-CN"/>
              </w:rPr>
              <w:t>综合评审</w:t>
            </w:r>
            <w:r>
              <w:rPr>
                <w:rFonts w:hint="eastAsia" w:ascii="宋体" w:hAnsi="宋体"/>
                <w:szCs w:val="21"/>
                <w:highlight w:val="none"/>
              </w:rPr>
              <w:t>：</w:t>
            </w:r>
          </w:p>
          <w:p>
            <w:pPr>
              <w:spacing w:line="360" w:lineRule="auto"/>
              <w:jc w:val="left"/>
              <w:rPr>
                <w:rFonts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响应服务距离6公里以内的，得5 分；</w:t>
            </w:r>
          </w:p>
          <w:p>
            <w:pPr>
              <w:spacing w:line="360" w:lineRule="auto"/>
              <w:jc w:val="left"/>
              <w:rPr>
                <w:rFonts w:hint="eastAsia"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响应服务距离6公里以上12公里以内（不含12公里）的，得4 分；</w:t>
            </w:r>
          </w:p>
          <w:p>
            <w:pPr>
              <w:spacing w:line="360" w:lineRule="auto"/>
              <w:jc w:val="left"/>
              <w:rPr>
                <w:rFonts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响应服务距离12以上18公里以内（不含18 公里）的，得3 分；</w:t>
            </w:r>
          </w:p>
          <w:p>
            <w:pPr>
              <w:spacing w:line="360" w:lineRule="auto"/>
              <w:jc w:val="left"/>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响应服务距离18公里以上24公里以内（不含24公里）的，得2 分；</w:t>
            </w:r>
          </w:p>
          <w:p>
            <w:pPr>
              <w:spacing w:line="360" w:lineRule="auto"/>
              <w:jc w:val="left"/>
              <w:rPr>
                <w:rFonts w:ascii="宋体" w:hAnsi="宋体"/>
                <w:szCs w:val="21"/>
                <w:highlight w:val="none"/>
              </w:rPr>
            </w:pPr>
            <w:r>
              <w:rPr>
                <w:rFonts w:hint="eastAsia" w:ascii="宋体" w:hAnsi="宋体"/>
                <w:szCs w:val="21"/>
                <w:highlight w:val="none"/>
                <w:lang w:val="en-US" w:eastAsia="zh-CN"/>
              </w:rPr>
              <w:t>5、</w:t>
            </w:r>
            <w:r>
              <w:rPr>
                <w:rFonts w:hint="eastAsia" w:ascii="宋体" w:hAnsi="宋体"/>
                <w:szCs w:val="21"/>
                <w:highlight w:val="none"/>
              </w:rPr>
              <w:t>响应服务24公里以上的，得1 分；</w:t>
            </w:r>
          </w:p>
          <w:p>
            <w:pPr>
              <w:spacing w:line="360" w:lineRule="auto"/>
              <w:jc w:val="left"/>
              <w:rPr>
                <w:rFonts w:ascii="宋体" w:hAnsi="宋体"/>
                <w:szCs w:val="21"/>
                <w:highlight w:val="none"/>
              </w:rPr>
            </w:pPr>
            <w:r>
              <w:rPr>
                <w:rFonts w:hint="eastAsia" w:ascii="宋体" w:hAnsi="宋体"/>
                <w:szCs w:val="21"/>
                <w:highlight w:val="none"/>
              </w:rPr>
              <w:t>不提供不得分。</w:t>
            </w:r>
          </w:p>
          <w:p>
            <w:pPr>
              <w:spacing w:line="360" w:lineRule="auto"/>
              <w:jc w:val="left"/>
              <w:rPr>
                <w:rFonts w:ascii="宋体" w:hAnsi="宋体"/>
                <w:b/>
                <w:bCs/>
                <w:szCs w:val="21"/>
                <w:highlight w:val="none"/>
              </w:rPr>
            </w:pPr>
            <w:r>
              <w:rPr>
                <w:rFonts w:hint="eastAsia" w:ascii="宋体" w:hAnsi="宋体"/>
                <w:b/>
                <w:bCs/>
                <w:szCs w:val="21"/>
                <w:highlight w:val="none"/>
              </w:rPr>
              <w:t>注：提供服务机构营业执照复印件、租赁合同或</w:t>
            </w:r>
          </w:p>
          <w:p>
            <w:pPr>
              <w:spacing w:line="360" w:lineRule="auto"/>
              <w:jc w:val="left"/>
              <w:rPr>
                <w:rFonts w:ascii="宋体" w:hAnsi="宋体"/>
                <w:b/>
                <w:bCs/>
                <w:szCs w:val="21"/>
                <w:highlight w:val="none"/>
              </w:rPr>
            </w:pPr>
            <w:r>
              <w:rPr>
                <w:rFonts w:hint="eastAsia" w:ascii="宋体" w:hAnsi="宋体"/>
                <w:b/>
                <w:bCs/>
                <w:szCs w:val="21"/>
                <w:highlight w:val="none"/>
              </w:rPr>
              <w:t>房产证明复印件及营业执照地址或办公地点到采</w:t>
            </w:r>
          </w:p>
          <w:p>
            <w:pPr>
              <w:autoSpaceDE w:val="0"/>
              <w:autoSpaceDN w:val="0"/>
              <w:adjustRightInd w:val="0"/>
              <w:spacing w:line="360" w:lineRule="auto"/>
              <w:jc w:val="left"/>
              <w:rPr>
                <w:rFonts w:hint="eastAsia" w:ascii="宋体" w:hAnsi="宋体" w:eastAsia="宋体" w:cs="宋体"/>
                <w:sz w:val="24"/>
                <w:szCs w:val="24"/>
                <w:highlight w:val="none"/>
                <w:lang w:val="en-US" w:eastAsia="zh-CN"/>
              </w:rPr>
            </w:pPr>
            <w:r>
              <w:rPr>
                <w:rFonts w:hint="eastAsia" w:ascii="宋体" w:hAnsi="宋体"/>
                <w:b/>
                <w:bCs/>
                <w:szCs w:val="21"/>
                <w:highlight w:val="none"/>
              </w:rPr>
              <w:t>购人地址的百度地图距离截图的复印件</w:t>
            </w:r>
            <w:r>
              <w:rPr>
                <w:rFonts w:hint="eastAsia" w:ascii="宋体" w:hAnsi="宋体" w:cs="宋体"/>
                <w:b/>
                <w:bCs/>
                <w:color w:val="000000"/>
                <w:szCs w:val="21"/>
                <w:highlight w:val="none"/>
              </w:rPr>
              <w:t>并加盖供应商公章</w:t>
            </w:r>
            <w:r>
              <w:rPr>
                <w:rFonts w:hint="eastAsia" w:ascii="宋体" w:hAnsi="宋体"/>
                <w:b/>
                <w:bCs/>
                <w:szCs w:val="21"/>
                <w:highlight w:val="none"/>
              </w:rPr>
              <w:t>，</w:t>
            </w:r>
            <w:r>
              <w:rPr>
                <w:rFonts w:hint="eastAsia" w:ascii="宋体" w:hAnsi="宋体" w:cs="宋体"/>
                <w:b/>
                <w:bCs/>
                <w:color w:val="000000"/>
                <w:szCs w:val="21"/>
                <w:highlight w:val="none"/>
              </w:rPr>
              <w:t>不提供或提供不全的不得分</w:t>
            </w:r>
            <w:r>
              <w:rPr>
                <w:rFonts w:hint="eastAsia" w:ascii="宋体" w:hAnsi="宋体"/>
                <w:b/>
                <w:bCs/>
                <w:szCs w:val="21"/>
                <w:highlight w:val="none"/>
              </w:rPr>
              <w:t>。</w:t>
            </w:r>
          </w:p>
        </w:tc>
      </w:tr>
    </w:tbl>
    <w:p>
      <w:pPr>
        <w:spacing w:line="360" w:lineRule="auto"/>
        <w:rPr>
          <w:rFonts w:hint="eastAsia" w:ascii="宋体" w:hAnsi="宋体" w:eastAsia="宋体" w:cs="宋体"/>
          <w:szCs w:val="24"/>
          <w:highlight w:val="none"/>
        </w:rPr>
      </w:pPr>
    </w:p>
    <w:p>
      <w:pPr>
        <w:pStyle w:val="16"/>
        <w:spacing w:line="360" w:lineRule="auto"/>
        <w:rPr>
          <w:rFonts w:hint="eastAsia" w:ascii="宋体" w:hAnsi="宋体" w:eastAsia="宋体" w:cs="宋体"/>
          <w:highlight w:val="none"/>
        </w:rPr>
      </w:pPr>
    </w:p>
    <w:p>
      <w:pPr>
        <w:numPr>
          <w:ilvl w:val="0"/>
          <w:numId w:val="44"/>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价格部分评审标准</w:t>
      </w:r>
    </w:p>
    <w:p>
      <w:pPr>
        <w:tabs>
          <w:tab w:val="left" w:pos="510"/>
          <w:tab w:val="left" w:pos="540"/>
        </w:tabs>
        <w:spacing w:line="360" w:lineRule="auto"/>
        <w:ind w:left="420"/>
        <w:rPr>
          <w:rFonts w:hint="eastAsia" w:ascii="宋体" w:hAnsi="宋体" w:eastAsia="宋体" w:cs="宋体"/>
          <w:szCs w:val="24"/>
          <w:highlight w:val="none"/>
          <w:lang w:val="en-GB"/>
        </w:rPr>
      </w:pPr>
      <w:r>
        <w:rPr>
          <w:rFonts w:hint="eastAsia" w:ascii="宋体" w:hAnsi="宋体" w:eastAsia="宋体" w:cs="宋体"/>
          <w:szCs w:val="24"/>
          <w:highlight w:val="none"/>
          <w:lang w:val="en-GB"/>
        </w:rPr>
        <w:t>依照《</w:t>
      </w:r>
      <w:r>
        <w:rPr>
          <w:rFonts w:hint="eastAsia" w:ascii="宋体" w:hAnsi="宋体" w:eastAsia="宋体" w:cs="宋体"/>
          <w:szCs w:val="24"/>
          <w:highlight w:val="none"/>
          <w:lang w:val="en-GB" w:eastAsia="zh-CN"/>
        </w:rPr>
        <w:t>政府采购促进中小企业发展管理办法</w:t>
      </w:r>
      <w:r>
        <w:rPr>
          <w:rFonts w:hint="eastAsia" w:ascii="宋体" w:hAnsi="宋体" w:eastAsia="宋体" w:cs="宋体"/>
          <w:szCs w:val="24"/>
          <w:highlight w:val="none"/>
          <w:lang w:val="en-GB"/>
        </w:rPr>
        <w:t>》的规定，对符合要求的有效供应商，按照以下比例给予相应的价格扣除：</w:t>
      </w:r>
    </w:p>
    <w:tbl>
      <w:tblPr>
        <w:tblStyle w:val="44"/>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883"/>
        <w:gridCol w:w="2307"/>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70"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序号</w:t>
            </w:r>
          </w:p>
        </w:tc>
        <w:tc>
          <w:tcPr>
            <w:tcW w:w="2883"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情形</w:t>
            </w:r>
          </w:p>
        </w:tc>
        <w:tc>
          <w:tcPr>
            <w:tcW w:w="2307"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rPr>
              <w:t>价格扣除</w:t>
            </w:r>
            <w:r>
              <w:rPr>
                <w:rFonts w:hint="eastAsia" w:ascii="宋体" w:hAnsi="宋体" w:eastAsia="宋体" w:cs="宋体"/>
                <w:b/>
                <w:szCs w:val="24"/>
                <w:highlight w:val="none"/>
                <w:lang w:val="en-GB"/>
              </w:rPr>
              <w:t>比例</w:t>
            </w:r>
          </w:p>
        </w:tc>
        <w:tc>
          <w:tcPr>
            <w:tcW w:w="3846"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70" w:type="dxa"/>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1</w:t>
            </w:r>
          </w:p>
        </w:tc>
        <w:tc>
          <w:tcPr>
            <w:tcW w:w="2883" w:type="dxa"/>
            <w:vAlign w:val="center"/>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非联合体供应商</w:t>
            </w:r>
          </w:p>
          <w:p>
            <w:pPr>
              <w:spacing w:line="360" w:lineRule="auto"/>
              <w:rPr>
                <w:rFonts w:hint="eastAsia" w:ascii="宋体" w:hAnsi="宋体" w:eastAsia="宋体" w:cs="宋体"/>
                <w:b/>
                <w:szCs w:val="24"/>
                <w:highlight w:val="none"/>
                <w:lang w:val="en-GB"/>
              </w:rPr>
            </w:pPr>
            <w:r>
              <w:rPr>
                <w:rFonts w:hint="eastAsia" w:ascii="宋体" w:hAnsi="宋体" w:eastAsia="宋体" w:cs="宋体"/>
                <w:szCs w:val="24"/>
                <w:highlight w:val="none"/>
                <w:lang w:val="en-GB"/>
              </w:rPr>
              <w:t>（供应商须为中小企业）</w:t>
            </w:r>
          </w:p>
        </w:tc>
        <w:tc>
          <w:tcPr>
            <w:tcW w:w="2307" w:type="dxa"/>
            <w:vAlign w:val="center"/>
          </w:tcPr>
          <w:p>
            <w:pPr>
              <w:spacing w:line="360" w:lineRule="auto"/>
              <w:rPr>
                <w:rFonts w:hint="eastAsia" w:ascii="宋体" w:hAnsi="宋体" w:eastAsia="宋体" w:cs="宋体"/>
                <w:b/>
                <w:szCs w:val="24"/>
                <w:highlight w:val="none"/>
                <w:lang w:val="en-GB" w:eastAsia="zh-CN"/>
              </w:rPr>
            </w:pPr>
            <w:r>
              <w:rPr>
                <w:rFonts w:hint="eastAsia" w:ascii="宋体" w:hAnsi="宋体" w:eastAsia="宋体" w:cs="宋体"/>
                <w:szCs w:val="24"/>
                <w:highlight w:val="none"/>
              </w:rPr>
              <w:t>对小型和微型企业产品的价格扣除</w:t>
            </w:r>
            <w:r>
              <w:rPr>
                <w:rFonts w:hint="eastAsia" w:ascii="宋体" w:hAnsi="宋体" w:eastAsia="宋体" w:cs="宋体"/>
                <w:szCs w:val="24"/>
                <w:highlight w:val="none"/>
                <w:u w:val="single"/>
              </w:rPr>
              <w:t xml:space="preserve"> 6</w:t>
            </w:r>
            <w:r>
              <w:rPr>
                <w:rFonts w:hint="eastAsia" w:ascii="宋体" w:hAnsi="宋体" w:eastAsia="宋体" w:cs="宋体"/>
                <w:szCs w:val="24"/>
                <w:highlight w:val="none"/>
              </w:rPr>
              <w:t>%</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如为政府采购工程项目，则为5%</w:t>
            </w:r>
            <w:r>
              <w:rPr>
                <w:rFonts w:hint="eastAsia" w:ascii="宋体" w:hAnsi="宋体" w:eastAsia="宋体" w:cs="宋体"/>
                <w:szCs w:val="24"/>
                <w:highlight w:val="none"/>
                <w:lang w:eastAsia="zh-CN"/>
              </w:rPr>
              <w:t>）</w:t>
            </w:r>
          </w:p>
        </w:tc>
        <w:tc>
          <w:tcPr>
            <w:tcW w:w="3846" w:type="dxa"/>
            <w:vAlign w:val="center"/>
          </w:tcPr>
          <w:p>
            <w:pPr>
              <w:spacing w:line="360" w:lineRule="auto"/>
              <w:rPr>
                <w:rFonts w:hint="eastAsia" w:ascii="宋体" w:hAnsi="宋体" w:eastAsia="宋体" w:cs="宋体"/>
                <w:b/>
                <w:szCs w:val="24"/>
                <w:highlight w:val="none"/>
                <w:lang w:val="en-GB"/>
              </w:rPr>
            </w:pPr>
            <w:r>
              <w:rPr>
                <w:rFonts w:hint="eastAsia" w:ascii="宋体" w:hAnsi="宋体" w:eastAsia="宋体" w:cs="宋体"/>
                <w:szCs w:val="24"/>
                <w:highlight w:val="none"/>
                <w:lang w:val="en-GB"/>
              </w:rPr>
              <w:t>评审价格＝（总报价—</w:t>
            </w:r>
            <w:r>
              <w:rPr>
                <w:rFonts w:hint="eastAsia" w:ascii="宋体" w:hAnsi="宋体" w:eastAsia="宋体" w:cs="宋体"/>
                <w:szCs w:val="24"/>
                <w:highlight w:val="none"/>
              </w:rPr>
              <w:t>小型和微型企业产品的价格）</w:t>
            </w:r>
            <w:r>
              <w:rPr>
                <w:rFonts w:hint="eastAsia" w:ascii="宋体" w:hAnsi="宋体" w:eastAsia="宋体" w:cs="宋体"/>
                <w:szCs w:val="24"/>
                <w:highlight w:val="none"/>
                <w:lang w:val="en-GB"/>
              </w:rPr>
              <w:t>+</w:t>
            </w:r>
            <w:r>
              <w:rPr>
                <w:rFonts w:hint="eastAsia" w:ascii="宋体" w:hAnsi="宋体" w:eastAsia="宋体" w:cs="宋体"/>
                <w:szCs w:val="24"/>
                <w:highlight w:val="none"/>
              </w:rPr>
              <w:t>小型和微型企业产品的价格</w:t>
            </w:r>
            <w:r>
              <w:rPr>
                <w:rFonts w:hint="eastAsia" w:ascii="宋体" w:hAnsi="宋体" w:eastAsia="宋体" w:cs="宋体"/>
                <w:szCs w:val="24"/>
                <w:highlight w:val="none"/>
                <w:lang w:val="en-GB"/>
              </w:rPr>
              <w:t>×</w:t>
            </w:r>
            <w:r>
              <w:rPr>
                <w:rFonts w:hint="eastAsia" w:ascii="宋体" w:hAnsi="宋体" w:eastAsia="宋体" w:cs="宋体"/>
                <w:szCs w:val="24"/>
                <w:highlight w:val="none"/>
              </w:rPr>
              <w:t>(1-</w:t>
            </w:r>
            <w:r>
              <w:rPr>
                <w:rFonts w:hint="eastAsia" w:ascii="宋体" w:hAnsi="宋体" w:eastAsia="宋体" w:cs="宋体"/>
                <w:szCs w:val="24"/>
                <w:highlight w:val="none"/>
                <w:u w:val="single"/>
              </w:rPr>
              <w:t xml:space="preserve"> 6</w:t>
            </w:r>
            <w:r>
              <w:rPr>
                <w:rFonts w:hint="eastAsia" w:ascii="宋体" w:hAnsi="宋体" w:eastAsia="宋体" w:cs="宋体"/>
                <w:szCs w:val="24"/>
                <w:highlight w:val="none"/>
              </w:rPr>
              <w:t>%)</w:t>
            </w:r>
          </w:p>
        </w:tc>
      </w:tr>
    </w:tbl>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（注：1.</w:t>
      </w:r>
      <w:r>
        <w:rPr>
          <w:rFonts w:hint="eastAsia" w:ascii="宋体" w:hAnsi="宋体" w:eastAsia="宋体" w:cs="宋体"/>
          <w:szCs w:val="24"/>
          <w:highlight w:val="none"/>
          <w:lang w:val="en-GB"/>
        </w:rPr>
        <w:t>中型企业不享受以上优惠；</w:t>
      </w:r>
      <w:r>
        <w:rPr>
          <w:rFonts w:hint="eastAsia" w:ascii="宋体" w:hAnsi="宋体" w:eastAsia="宋体" w:cs="宋体"/>
          <w:b/>
          <w:szCs w:val="24"/>
          <w:highlight w:val="none"/>
        </w:rPr>
        <w:t>2.</w:t>
      </w:r>
      <w:r>
        <w:rPr>
          <w:rFonts w:hint="eastAsia" w:ascii="宋体" w:hAnsi="宋体" w:eastAsia="宋体" w:cs="宋体"/>
          <w:szCs w:val="24"/>
          <w:highlight w:val="none"/>
          <w:lang w:val="en-GB"/>
        </w:rPr>
        <w:t>小型和微型企业产品包括货物及其提供的服务与工程。</w:t>
      </w:r>
      <w:r>
        <w:rPr>
          <w:rFonts w:hint="eastAsia" w:ascii="宋体" w:hAnsi="宋体" w:eastAsia="宋体" w:cs="宋体"/>
          <w:b/>
          <w:szCs w:val="24"/>
          <w:highlight w:val="none"/>
        </w:rPr>
        <w:t>3.</w:t>
      </w:r>
      <w:r>
        <w:rPr>
          <w:rFonts w:hint="eastAsia" w:ascii="宋体" w:hAnsi="宋体" w:eastAsia="宋体" w:cs="宋体"/>
          <w:szCs w:val="24"/>
          <w:highlight w:val="none"/>
          <w:lang w:val="en-GB"/>
        </w:rPr>
        <w:t>符合要求的供应商须按采购件附件格式提供“中小企业声明函”，供应商如不能完整提供上述资料的将不能享受相应的价格折扣。）</w:t>
      </w:r>
    </w:p>
    <w:p>
      <w:pPr>
        <w:tabs>
          <w:tab w:val="left" w:pos="540"/>
        </w:tabs>
        <w:snapToGrid w:val="0"/>
        <w:spacing w:line="360" w:lineRule="auto"/>
        <w:rPr>
          <w:rFonts w:hint="eastAsia" w:ascii="宋体" w:hAnsi="宋体" w:eastAsia="宋体" w:cs="宋体"/>
          <w:b/>
          <w:szCs w:val="24"/>
          <w:highlight w:val="none"/>
          <w:lang w:val="en-GB"/>
        </w:rPr>
      </w:pPr>
    </w:p>
    <w:p>
      <w:pPr>
        <w:numPr>
          <w:ilvl w:val="1"/>
          <w:numId w:val="45"/>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依照有关政府采购政策的规定，对符合要求的有效供应商，按照以下比例给予相应的价格扣除：</w:t>
      </w:r>
    </w:p>
    <w:p>
      <w:pPr>
        <w:numPr>
          <w:ilvl w:val="0"/>
          <w:numId w:val="46"/>
        </w:num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对供应商为小型和微型企业且投标产品为小型或微型企业产品，在评审时对其投标价格给予6%</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如为政府采购工程项目，则为5%</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GB"/>
        </w:rPr>
        <w:t>的价格扣除。</w:t>
      </w:r>
    </w:p>
    <w:p>
      <w:pPr>
        <w:numPr>
          <w:ilvl w:val="0"/>
          <w:numId w:val="46"/>
        </w:num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监狱企业视同小型、微型企业，在评审时对其投标价格给予6%的价格扣除。</w:t>
      </w:r>
    </w:p>
    <w:p>
      <w:pPr>
        <w:numPr>
          <w:ilvl w:val="0"/>
          <w:numId w:val="46"/>
        </w:num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残疾人福利性单位视同小型、微型企业，在评审时对其投标价格给予6%的价格扣除。</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b/>
          <w:szCs w:val="24"/>
          <w:highlight w:val="none"/>
        </w:rPr>
        <w:t>（注：供应商同时满足以上①②③任意两种或以上条件的，评审中只享受一次价格扣除，不重复进行价格扣除。</w:t>
      </w:r>
      <w:r>
        <w:rPr>
          <w:rFonts w:hint="eastAsia" w:ascii="宋体" w:hAnsi="宋体" w:eastAsia="宋体" w:cs="宋体"/>
          <w:szCs w:val="24"/>
          <w:highlight w:val="none"/>
          <w:lang w:val="en-GB"/>
        </w:rPr>
        <w:t>符合要求的供应商须按采购件附件格式提供“中小企业声明函”（如有）或“监狱企业证明文件”（如有）或“</w:t>
      </w:r>
      <w:bookmarkStart w:id="87" w:name="OLE_LINK14"/>
      <w:bookmarkStart w:id="88" w:name="OLE_LINK13"/>
      <w:r>
        <w:rPr>
          <w:rFonts w:hint="eastAsia" w:ascii="宋体" w:hAnsi="宋体" w:eastAsia="宋体" w:cs="宋体"/>
          <w:szCs w:val="24"/>
          <w:highlight w:val="none"/>
          <w:lang w:val="en-GB"/>
        </w:rPr>
        <w:t>残疾人福利性单位声明函</w:t>
      </w:r>
      <w:bookmarkEnd w:id="87"/>
      <w:bookmarkEnd w:id="88"/>
      <w:r>
        <w:rPr>
          <w:rFonts w:hint="eastAsia" w:ascii="宋体" w:hAnsi="宋体" w:eastAsia="宋体" w:cs="宋体"/>
          <w:szCs w:val="24"/>
          <w:highlight w:val="none"/>
          <w:lang w:val="en-GB"/>
        </w:rPr>
        <w:t>”（如有），供应商如不能完整提供上述资料的将不能享受相应的价格折扣。）</w:t>
      </w:r>
    </w:p>
    <w:p>
      <w:pPr>
        <w:spacing w:line="360" w:lineRule="auto"/>
        <w:rPr>
          <w:rFonts w:hint="eastAsia" w:ascii="宋体" w:hAnsi="宋体" w:eastAsia="宋体" w:cs="宋体"/>
          <w:szCs w:val="24"/>
          <w:highlight w:val="none"/>
        </w:rPr>
      </w:pPr>
    </w:p>
    <w:p>
      <w:pPr>
        <w:numPr>
          <w:ilvl w:val="1"/>
          <w:numId w:val="45"/>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经评标委员会审核，满足竞争性磋商文件要求且进行了政策性价格扣除后，以评标价格的最低价者定为评标基准价，其价格分为满分。其他供应商的价格分统一按下列公式折算递减。即：</w:t>
      </w:r>
    </w:p>
    <w:p>
      <w:pPr>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评标基准价 = 评审价格的最低价 = 满</w:t>
      </w:r>
      <w:r>
        <w:rPr>
          <w:rFonts w:hint="eastAsia" w:ascii="宋体" w:hAnsi="宋体" w:eastAsia="宋体" w:cs="宋体"/>
          <w:szCs w:val="24"/>
          <w:highlight w:val="none"/>
          <w:lang w:val="en-US" w:eastAsia="zh-CN"/>
        </w:rPr>
        <w:t>1</w:t>
      </w:r>
      <w:r>
        <w:rPr>
          <w:rFonts w:hint="eastAsia" w:ascii="宋体" w:hAnsi="宋体" w:eastAsia="宋体" w:cs="宋体"/>
          <w:szCs w:val="24"/>
          <w:highlight w:val="none"/>
        </w:rPr>
        <w:t>0</w:t>
      </w:r>
      <w:r>
        <w:rPr>
          <w:rFonts w:hint="eastAsia" w:ascii="宋体" w:hAnsi="宋体" w:eastAsia="宋体" w:cs="宋体"/>
          <w:szCs w:val="24"/>
          <w:highlight w:val="none"/>
          <w:lang w:val="en-GB"/>
        </w:rPr>
        <w:t>分</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其他报价得分 = （评标基准价÷评标价格） × 价格部分分值</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（评标价格、评标基准价均精确到两位小数）</w:t>
      </w:r>
    </w:p>
    <w:p>
      <w:pPr>
        <w:tabs>
          <w:tab w:val="left" w:pos="540"/>
        </w:tabs>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89" w:name="_Toc412904431"/>
      <w:bookmarkStart w:id="90" w:name="_Toc20856"/>
      <w:r>
        <w:rPr>
          <w:rFonts w:hint="eastAsia" w:ascii="宋体" w:hAnsi="宋体" w:eastAsia="宋体" w:cs="宋体"/>
          <w:sz w:val="24"/>
          <w:szCs w:val="24"/>
          <w:highlight w:val="none"/>
        </w:rPr>
        <w:t>七、确定结果</w:t>
      </w:r>
      <w:bookmarkEnd w:id="89"/>
      <w:r>
        <w:rPr>
          <w:rFonts w:hint="eastAsia" w:ascii="宋体" w:hAnsi="宋体" w:eastAsia="宋体" w:cs="宋体"/>
          <w:sz w:val="24"/>
          <w:szCs w:val="24"/>
          <w:highlight w:val="none"/>
        </w:rPr>
        <w:t>及后续</w:t>
      </w:r>
      <w:bookmarkEnd w:id="90"/>
    </w:p>
    <w:p>
      <w:pPr>
        <w:numPr>
          <w:ilvl w:val="0"/>
          <w:numId w:val="47"/>
        </w:numPr>
        <w:tabs>
          <w:tab w:val="left" w:pos="540"/>
        </w:tabs>
        <w:snapToGrid w:val="0"/>
        <w:spacing w:line="360" w:lineRule="auto"/>
        <w:rPr>
          <w:rFonts w:hint="eastAsia" w:ascii="宋体" w:hAnsi="宋体" w:eastAsia="宋体" w:cs="宋体"/>
          <w:b/>
          <w:szCs w:val="24"/>
          <w:highlight w:val="none"/>
          <w:lang w:val="en-GB"/>
        </w:rPr>
      </w:pPr>
      <w:bookmarkStart w:id="91" w:name="_Toc157583146"/>
      <w:bookmarkStart w:id="92" w:name="_Toc185067997"/>
      <w:bookmarkStart w:id="93" w:name="_Toc163374508"/>
      <w:bookmarkStart w:id="94" w:name="_Toc157580086"/>
      <w:bookmarkStart w:id="95" w:name="_Toc26261453"/>
      <w:bookmarkStart w:id="96" w:name="_Toc34704912"/>
      <w:bookmarkStart w:id="97" w:name="_Toc25726406"/>
      <w:r>
        <w:rPr>
          <w:rFonts w:hint="eastAsia" w:ascii="宋体" w:hAnsi="宋体" w:eastAsia="宋体" w:cs="宋体"/>
          <w:b/>
          <w:szCs w:val="24"/>
          <w:highlight w:val="none"/>
          <w:lang w:val="en-GB"/>
        </w:rPr>
        <w:t>成交资格的</w:t>
      </w:r>
      <w:bookmarkEnd w:id="91"/>
      <w:bookmarkEnd w:id="92"/>
      <w:bookmarkEnd w:id="93"/>
      <w:bookmarkEnd w:id="94"/>
      <w:r>
        <w:rPr>
          <w:rFonts w:hint="eastAsia" w:ascii="宋体" w:hAnsi="宋体" w:eastAsia="宋体" w:cs="宋体"/>
          <w:b/>
          <w:szCs w:val="24"/>
          <w:highlight w:val="none"/>
          <w:lang w:val="en-GB"/>
        </w:rPr>
        <w:t>确定</w:t>
      </w:r>
    </w:p>
    <w:p>
      <w:pPr>
        <w:tabs>
          <w:tab w:val="left" w:pos="720"/>
        </w:tabs>
        <w:snapToGrid w:val="0"/>
        <w:spacing w:line="360" w:lineRule="auto"/>
        <w:ind w:right="17" w:firstLine="540" w:firstLineChars="225"/>
        <w:rPr>
          <w:rFonts w:hint="eastAsia" w:ascii="宋体" w:hAnsi="宋体" w:eastAsia="宋体" w:cs="宋体"/>
          <w:szCs w:val="24"/>
          <w:highlight w:val="none"/>
          <w:lang w:val="zh-CN"/>
        </w:rPr>
      </w:pPr>
      <w:r>
        <w:rPr>
          <w:rFonts w:hint="eastAsia" w:ascii="宋体" w:hAnsi="宋体" w:eastAsia="宋体" w:cs="宋体"/>
          <w:szCs w:val="24"/>
          <w:highlight w:val="none"/>
          <w:lang w:val="zh-CN"/>
        </w:rPr>
        <w:t>采购人在法定时间内对评审推荐结果进行确认。采购代理机构将在评审结束后，向采购人提交评审推荐意见，采购人依法确定成交供应商</w:t>
      </w:r>
      <w:r>
        <w:rPr>
          <w:rFonts w:hint="eastAsia" w:ascii="宋体" w:hAnsi="宋体" w:eastAsia="宋体" w:cs="宋体"/>
          <w:b/>
          <w:szCs w:val="24"/>
          <w:highlight w:val="none"/>
          <w:lang w:val="zh-CN"/>
        </w:rPr>
        <w:t>（成交供应商数量：详见《供应商须知前附表》）</w:t>
      </w:r>
      <w:r>
        <w:rPr>
          <w:rFonts w:hint="eastAsia" w:ascii="宋体" w:hAnsi="宋体" w:eastAsia="宋体" w:cs="宋体"/>
          <w:szCs w:val="24"/>
          <w:highlight w:val="none"/>
          <w:lang w:val="zh-CN"/>
        </w:rPr>
        <w:t>。</w:t>
      </w:r>
      <w:bookmarkEnd w:id="95"/>
      <w:bookmarkEnd w:id="96"/>
      <w:bookmarkEnd w:id="97"/>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替补候选人的适用情形</w:t>
      </w:r>
    </w:p>
    <w:p>
      <w:pPr>
        <w:tabs>
          <w:tab w:val="left" w:pos="1680"/>
        </w:tabs>
        <w:snapToGrid w:val="0"/>
        <w:spacing w:line="360" w:lineRule="auto"/>
        <w:ind w:firstLine="480" w:firstLineChars="200"/>
        <w:rPr>
          <w:rFonts w:hint="eastAsia" w:ascii="宋体" w:hAnsi="宋体" w:eastAsia="宋体" w:cs="宋体"/>
          <w:szCs w:val="24"/>
          <w:highlight w:val="none"/>
          <w:lang w:val="zh-CN"/>
        </w:rPr>
      </w:pPr>
      <w:r>
        <w:rPr>
          <w:rFonts w:hint="eastAsia" w:ascii="宋体" w:hAnsi="宋体" w:eastAsia="宋体" w:cs="宋体"/>
          <w:szCs w:val="24"/>
          <w:highlight w:val="none"/>
          <w:lang w:val="zh-CN"/>
        </w:rPr>
        <w:t>成交供应商拒绝与采购人签订合同的，采购人可以重新开展政府采购活动。</w:t>
      </w:r>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成交通知</w:t>
      </w:r>
    </w:p>
    <w:p>
      <w:pPr>
        <w:numPr>
          <w:ilvl w:val="0"/>
          <w:numId w:val="4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成交结果将发布在磋商文件指定媒体，同时，采购代理机构将向成交供应商签发《成交通知书》。</w:t>
      </w:r>
    </w:p>
    <w:p>
      <w:pPr>
        <w:numPr>
          <w:ilvl w:val="0"/>
          <w:numId w:val="4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《成交通知书》将作为授予合同资格的唯一合法依据。</w:t>
      </w:r>
    </w:p>
    <w:p>
      <w:pPr>
        <w:numPr>
          <w:ilvl w:val="0"/>
          <w:numId w:val="4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在未取得合法理由而获批复前，成交供应商擅自放弃成交资格，则须承担相应的违约处罚责任，并赔偿采购人由此所造成的一切经济损失。</w:t>
      </w:r>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成交服务费（招标代理费）</w:t>
      </w:r>
    </w:p>
    <w:p>
      <w:pPr>
        <w:numPr>
          <w:ilvl w:val="0"/>
          <w:numId w:val="49"/>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成交供应商须按收费标准，在领取《成交通知书》前以银行转账方式一次性向招标代理机构缴纳相应的成交服务费。</w:t>
      </w:r>
    </w:p>
    <w:p>
      <w:pPr>
        <w:numPr>
          <w:ilvl w:val="0"/>
          <w:numId w:val="49"/>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服务费由成交供应商支付。若无规定，成交服务费应含在投标报价范畴中，但不单列，供应商报价时应考虑此项费用。成交服务费交纳后即为固定金额，成交额（或合同价）的增减，将不影响成交服务费的增减。</w:t>
      </w:r>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合同签订、争议与跟踪</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采购人与成交供应商自成交通知书发出之日起</w:t>
      </w:r>
      <w:r>
        <w:rPr>
          <w:rFonts w:hint="eastAsia" w:ascii="宋体" w:hAnsi="宋体" w:cs="宋体"/>
          <w:szCs w:val="24"/>
          <w:highlight w:val="none"/>
          <w:lang w:val="en-US" w:eastAsia="zh-CN"/>
        </w:rPr>
        <w:t>三</w:t>
      </w:r>
      <w:r>
        <w:rPr>
          <w:rFonts w:hint="eastAsia" w:ascii="宋体" w:hAnsi="宋体" w:eastAsia="宋体" w:cs="宋体"/>
          <w:b/>
          <w:szCs w:val="24"/>
          <w:highlight w:val="none"/>
          <w:lang w:val="en-GB"/>
        </w:rPr>
        <w:t>十日</w:t>
      </w:r>
      <w:r>
        <w:rPr>
          <w:rFonts w:hint="eastAsia" w:ascii="宋体" w:hAnsi="宋体" w:eastAsia="宋体" w:cs="宋体"/>
          <w:szCs w:val="24"/>
          <w:highlight w:val="none"/>
          <w:lang w:val="en-GB"/>
        </w:rPr>
        <w:t>内，按磋商文件要求和成交供应商响应文件承诺签订政府采购合同，但不得超出磋商文件和成交供应商响应文件的范围、也不得再行订立背离合同实质性内容的其他协议。</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响应文件、相关澄清材料及来往确认文件，均作为合同订立和裁定争议的依据，对这些文件个别条款要约的理解存有歧义、偏差、含糊、疏漏等情形时，一切以能够实现项目的功能效果和设计目标为前提，均以采购人的理解判断为准。</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签订政府采购合同后7个工作日内，采购人应按《关于做好政府采购信息公开工作的通知》（财库[2015]135号）的要求，完成后续文件的公告事宜，并将政府采购合同副本报同级政府采购监督管理部门备案。</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采购人应当自政府采购合同签订之日起2个工作日内，将政府采购合同在省级以上人民政府财政部门指定的媒体上公告，但政府采购合同中涉及国家秘密、商业秘密的内容除外。</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在不违背原采购方案要求和各方认可的文件内容前提下，合同当事人可对合同范本中个别非实质性条款共同协商完善补充修正。</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合同生效后一切行为均适用于《中华人民共和国</w:t>
      </w:r>
      <w:r>
        <w:rPr>
          <w:rFonts w:hint="eastAsia" w:ascii="宋体" w:hAnsi="宋体" w:eastAsia="宋体" w:cs="宋体"/>
          <w:szCs w:val="24"/>
          <w:highlight w:val="none"/>
          <w:lang w:val="en-GB" w:eastAsia="zh-CN"/>
        </w:rPr>
        <w:t>民法典</w:t>
      </w:r>
      <w:r>
        <w:rPr>
          <w:rFonts w:hint="eastAsia" w:ascii="宋体" w:hAnsi="宋体" w:eastAsia="宋体" w:cs="宋体"/>
          <w:szCs w:val="24"/>
          <w:highlight w:val="none"/>
          <w:lang w:val="en-GB"/>
        </w:rPr>
        <w:t>》，履约期间有违约过错的一方，须承担相应的责任。</w:t>
      </w:r>
    </w:p>
    <w:p>
      <w:pPr>
        <w:numPr>
          <w:ilvl w:val="0"/>
          <w:numId w:val="51"/>
        </w:numPr>
        <w:tabs>
          <w:tab w:val="left" w:pos="540"/>
        </w:tabs>
        <w:snapToGrid w:val="0"/>
        <w:spacing w:line="360" w:lineRule="auto"/>
        <w:rPr>
          <w:rFonts w:hint="eastAsia" w:ascii="宋体" w:hAnsi="宋体" w:eastAsia="宋体" w:cs="宋体"/>
          <w:b/>
          <w:szCs w:val="24"/>
          <w:highlight w:val="none"/>
          <w:lang w:val="en-GB"/>
        </w:rPr>
      </w:pPr>
      <w:bookmarkStart w:id="98" w:name="_Toc433127783"/>
      <w:r>
        <w:rPr>
          <w:rFonts w:hint="eastAsia" w:ascii="宋体" w:hAnsi="宋体" w:eastAsia="宋体" w:cs="宋体"/>
          <w:b/>
          <w:szCs w:val="24"/>
          <w:highlight w:val="none"/>
          <w:lang w:val="en-GB"/>
        </w:rPr>
        <w:t>询问、质疑、投诉</w:t>
      </w:r>
      <w:bookmarkEnd w:id="98"/>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询问</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①供应商对政府采购活动事项有疑问的，可以向招标采购单位提出询问，询问可以口头方式提出，也可以书面方式提出。招标采购单位在三个工作日内对供应商依法提出的询问作出答复。</w:t>
      </w:r>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质疑</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质疑期限：</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①供应商认为磋商文件的内容损害其权益的，应在收到谈判文件之日或者谈判文件公告期届满之日起七个工作日内。</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②供应商认为采购过程损害其权益的，应在各采购程序环节结束之日起七个工作日内。</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③供应商认为中标或者成交结果损害其权益的，应在中标或者成交结果公告期限届满之日起七个工作日内。</w:t>
      </w:r>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提交要求：</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①以书面形式（加盖供应商公章，供应商以电话、传真或电邮形式提交的质疑属于无效质疑）向招标采购单位提出质疑。</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②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③供应商质疑应当有明确的请求和必要的证明材料，捏造事实、提供虚假材料或者以非法手段取得证明材料不能作为质疑的证明材料。</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④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⑤对于捏造事实、滥用维权扰乱采购秩序的恶意质疑者或举证不全查无实据被驳回次数在一年内达三次以上，将纳入不良行为记录名单并承担相应的法律责任。</w:t>
      </w:r>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投诉</w:t>
      </w:r>
    </w:p>
    <w:p>
      <w:pPr>
        <w:tabs>
          <w:tab w:val="left" w:pos="54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lang w:val="en-GB"/>
        </w:rPr>
        <w:t>质疑供应商对招标采购单位的质疑答复不满意，或招标采购单位未在规定期限内作出答复的，可以在答复期满后十五个工作日内向同级监管部门提出投诉。</w:t>
      </w:r>
      <w:r>
        <w:rPr>
          <w:rFonts w:hint="eastAsia" w:ascii="宋体" w:hAnsi="宋体" w:eastAsia="宋体" w:cs="宋体"/>
          <w:szCs w:val="24"/>
          <w:highlight w:val="none"/>
        </w:rPr>
        <w:br w:type="page"/>
      </w:r>
      <w:r>
        <w:rPr>
          <w:rFonts w:hint="eastAsia" w:ascii="宋体" w:hAnsi="宋体" w:eastAsia="宋体" w:cs="宋体"/>
          <w:szCs w:val="24"/>
          <w:highlight w:val="none"/>
        </w:rPr>
        <w:t>1：询问函格式</w:t>
      </w:r>
    </w:p>
    <w:p>
      <w:pPr>
        <w:pStyle w:val="30"/>
        <w:spacing w:before="0" w:beforeAutospacing="0" w:after="0" w:afterAutospacing="0" w:line="360" w:lineRule="auto"/>
        <w:jc w:val="center"/>
        <w:rPr>
          <w:rStyle w:val="32"/>
          <w:rFonts w:hint="eastAsia" w:ascii="宋体" w:hAnsi="宋体" w:eastAsia="宋体" w:cs="宋体"/>
          <w:color w:val="auto"/>
          <w:highlight w:val="none"/>
        </w:rPr>
      </w:pPr>
      <w:r>
        <w:rPr>
          <w:rStyle w:val="32"/>
          <w:rFonts w:hint="eastAsia" w:ascii="宋体" w:hAnsi="宋体" w:eastAsia="宋体" w:cs="宋体"/>
          <w:color w:val="auto"/>
          <w:highlight w:val="none"/>
        </w:rPr>
        <w:t>询问函</w:t>
      </w:r>
    </w:p>
    <w:p>
      <w:pPr>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u w:val="single"/>
        </w:rPr>
        <w:t>（政府采购代理机构或采购人）：</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我单位已报名并准备参与</w:t>
      </w:r>
      <w:r>
        <w:rPr>
          <w:rFonts w:hint="eastAsia" w:ascii="宋体" w:hAnsi="宋体" w:eastAsia="宋体" w:cs="宋体"/>
          <w:iCs/>
          <w:szCs w:val="24"/>
          <w:highlight w:val="none"/>
          <w:u w:val="single"/>
        </w:rPr>
        <w:t>（采购项目名称）</w:t>
      </w:r>
      <w:r>
        <w:rPr>
          <w:rFonts w:hint="eastAsia" w:ascii="宋体" w:hAnsi="宋体" w:eastAsia="宋体" w:cs="宋体"/>
          <w:szCs w:val="24"/>
          <w:highlight w:val="none"/>
        </w:rPr>
        <w:t>项目（采购项目编号：</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）的政府采购（或报价）活动，现有以下几个内容（或条款）存在疑问（或无法理解），特提出询问。</w:t>
      </w:r>
    </w:p>
    <w:p>
      <w:pPr>
        <w:widowControl/>
        <w:tabs>
          <w:tab w:val="center" w:pos="5019"/>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一、_____________________（事项一）</w:t>
      </w:r>
      <w:r>
        <w:rPr>
          <w:rFonts w:hint="eastAsia" w:ascii="宋体" w:hAnsi="宋体" w:eastAsia="宋体" w:cs="宋体"/>
          <w:szCs w:val="24"/>
          <w:highlight w:val="none"/>
        </w:rPr>
        <w:tab/>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（1）____________________（问题或条款内容）</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（2）____________________（说明疑问或无法理解原因）</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（3）____________________（建议）</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二、_____________________（事项二）</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随附相关证明材料如下：（目录）。</w:t>
      </w:r>
    </w:p>
    <w:p>
      <w:pPr>
        <w:widowControl/>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询问人：（公章）</w:t>
      </w:r>
    </w:p>
    <w:p>
      <w:pPr>
        <w:widowControl/>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法定代表人（授权代表）：</w:t>
      </w:r>
    </w:p>
    <w:p>
      <w:pPr>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地址/邮编：</w:t>
      </w:r>
    </w:p>
    <w:p>
      <w:pPr>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电话/传真：</w:t>
      </w:r>
    </w:p>
    <w:p>
      <w:pPr>
        <w:spacing w:line="360" w:lineRule="auto"/>
        <w:jc w:val="right"/>
        <w:rPr>
          <w:rFonts w:hint="eastAsia" w:ascii="宋体" w:hAnsi="宋体" w:eastAsia="宋体" w:cs="宋体"/>
          <w:szCs w:val="24"/>
          <w:highlight w:val="none"/>
        </w:rPr>
      </w:pPr>
      <w:r>
        <w:rPr>
          <w:rFonts w:hint="eastAsia" w:ascii="宋体" w:hAnsi="宋体" w:eastAsia="宋体" w:cs="宋体"/>
          <w:szCs w:val="24"/>
          <w:highlight w:val="none"/>
        </w:rPr>
        <w:t xml:space="preserve"> </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napToGrid w:val="0"/>
        <w:spacing w:line="360" w:lineRule="auto"/>
        <w:ind w:firstLine="432" w:firstLineChars="180"/>
        <w:rPr>
          <w:rFonts w:hint="eastAsia" w:ascii="宋体" w:hAnsi="宋体" w:eastAsia="宋体" w:cs="宋体"/>
          <w:szCs w:val="24"/>
          <w:highlight w:val="none"/>
        </w:rPr>
      </w:pPr>
    </w:p>
    <w:p>
      <w:pPr>
        <w:pStyle w:val="30"/>
        <w:snapToGrid w:val="0"/>
        <w:spacing w:before="0" w:beforeAutospacing="0" w:after="0" w:afterAutospacing="0" w:line="360" w:lineRule="auto"/>
        <w:jc w:val="both"/>
        <w:rPr>
          <w:rFonts w:hint="eastAsia" w:ascii="宋体" w:hAnsi="宋体" w:eastAsia="宋体" w:cs="宋体"/>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2：</w:t>
      </w:r>
      <w:r>
        <w:rPr>
          <w:rFonts w:hint="eastAsia" w:ascii="宋体" w:hAnsi="宋体" w:eastAsia="宋体" w:cs="宋体"/>
          <w:highlight w:val="none"/>
        </w:rPr>
        <w:t>质疑函格式</w:t>
      </w:r>
    </w:p>
    <w:p>
      <w:pPr>
        <w:pStyle w:val="30"/>
        <w:spacing w:before="0" w:beforeAutospacing="0" w:after="0" w:afterAutospacing="0" w:line="360" w:lineRule="auto"/>
        <w:jc w:val="center"/>
        <w:rPr>
          <w:rStyle w:val="32"/>
          <w:rFonts w:hint="eastAsia" w:ascii="宋体" w:hAnsi="宋体" w:eastAsia="宋体" w:cs="宋体"/>
          <w:highlight w:val="none"/>
        </w:rPr>
      </w:pPr>
      <w:r>
        <w:rPr>
          <w:rStyle w:val="32"/>
          <w:rFonts w:hint="eastAsia" w:ascii="宋体" w:hAnsi="宋体" w:eastAsia="宋体" w:cs="宋体"/>
          <w:highlight w:val="none"/>
        </w:rPr>
        <w:t>关于</w:t>
      </w:r>
      <w:r>
        <w:rPr>
          <w:rStyle w:val="32"/>
          <w:rFonts w:hint="eastAsia" w:ascii="宋体" w:hAnsi="宋体" w:eastAsia="宋体" w:cs="宋体"/>
          <w:highlight w:val="none"/>
          <w:u w:val="single"/>
        </w:rPr>
        <w:t>（采购人）（项目名称）</w:t>
      </w:r>
      <w:r>
        <w:rPr>
          <w:rStyle w:val="32"/>
          <w:rFonts w:hint="eastAsia" w:ascii="宋体" w:hAnsi="宋体" w:eastAsia="宋体" w:cs="宋体"/>
          <w:highlight w:val="none"/>
        </w:rPr>
        <w:t>的质疑函</w:t>
      </w:r>
    </w:p>
    <w:p>
      <w:pPr>
        <w:widowControl/>
        <w:spacing w:line="360" w:lineRule="auto"/>
        <w:jc w:val="center"/>
        <w:rPr>
          <w:rFonts w:hint="eastAsia" w:ascii="宋体" w:hAnsi="宋体" w:eastAsia="宋体" w:cs="宋体"/>
          <w:kern w:val="0"/>
          <w:szCs w:val="24"/>
          <w:highlight w:val="none"/>
        </w:rPr>
      </w:pPr>
      <w:r>
        <w:rPr>
          <w:rFonts w:hint="eastAsia" w:ascii="宋体" w:hAnsi="宋体" w:eastAsia="宋体" w:cs="宋体"/>
          <w:kern w:val="0"/>
          <w:szCs w:val="24"/>
          <w:highlight w:val="none"/>
        </w:rPr>
        <w:t>(可根据质疑内容增加或删减)</w:t>
      </w:r>
    </w:p>
    <w:p>
      <w:pPr>
        <w:widowControl/>
        <w:snapToGrid w:val="0"/>
        <w:spacing w:line="360" w:lineRule="auto"/>
        <w:jc w:val="left"/>
        <w:rPr>
          <w:rFonts w:hint="eastAsia" w:ascii="宋体" w:hAnsi="宋体" w:eastAsia="宋体" w:cs="宋体"/>
          <w:szCs w:val="24"/>
          <w:highlight w:val="none"/>
          <w:u w:val="single"/>
        </w:rPr>
      </w:pPr>
    </w:p>
    <w:p>
      <w:pPr>
        <w:widowControl/>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u w:val="single"/>
        </w:rPr>
        <w:t xml:space="preserve">采购人名称/采购代理机构名称 </w:t>
      </w:r>
      <w:r>
        <w:rPr>
          <w:rFonts w:hint="eastAsia" w:ascii="宋体" w:hAnsi="宋体" w:eastAsia="宋体" w:cs="宋体"/>
          <w:szCs w:val="24"/>
          <w:highlight w:val="none"/>
        </w:rPr>
        <w:t>：</w:t>
      </w:r>
    </w:p>
    <w:p>
      <w:pPr>
        <w:adjustRightInd w:val="0"/>
        <w:snapToGrid w:val="0"/>
        <w:spacing w:before="240" w:beforeLines="100" w:line="360" w:lineRule="auto"/>
        <w:rPr>
          <w:rFonts w:hint="eastAsia" w:ascii="宋体" w:hAnsi="宋体" w:eastAsia="宋体" w:cs="宋体"/>
          <w:bCs/>
          <w:szCs w:val="24"/>
          <w:highlight w:val="none"/>
        </w:rPr>
      </w:pPr>
      <w:r>
        <w:rPr>
          <w:rFonts w:hint="eastAsia" w:ascii="宋体" w:hAnsi="宋体" w:eastAsia="宋体" w:cs="宋体"/>
          <w:bCs/>
          <w:szCs w:val="24"/>
          <w:highlight w:val="none"/>
        </w:rPr>
        <w:t>一、质疑供应商基本信息</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质疑供应商：</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地址：</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邮编：</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联系人：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联系电话：</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授权代表：</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联系电话：</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地址： </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邮编：</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bCs/>
          <w:szCs w:val="24"/>
          <w:highlight w:val="none"/>
        </w:rPr>
      </w:pPr>
      <w:r>
        <w:rPr>
          <w:rFonts w:hint="eastAsia" w:ascii="宋体" w:hAnsi="宋体" w:eastAsia="宋体" w:cs="宋体"/>
          <w:bCs/>
          <w:szCs w:val="24"/>
          <w:highlight w:val="none"/>
        </w:rPr>
        <w:t>二、质疑项目基本情况</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质疑项目的名称：</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质疑项目的编号：</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采购人名称：</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采购文件获取日期：</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bCs/>
          <w:szCs w:val="24"/>
          <w:highlight w:val="none"/>
        </w:rPr>
      </w:pPr>
      <w:r>
        <w:rPr>
          <w:rFonts w:hint="eastAsia" w:ascii="宋体" w:hAnsi="宋体" w:eastAsia="宋体" w:cs="宋体"/>
          <w:bCs/>
          <w:szCs w:val="24"/>
          <w:highlight w:val="none"/>
        </w:rPr>
        <w:t>三、质疑事项具体内容</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质疑事项1：</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事实依据：</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法律依据：</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证据来源：</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质疑事项2</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w:t>
      </w:r>
    </w:p>
    <w:p>
      <w:pPr>
        <w:adjustRightInd w:val="0"/>
        <w:snapToGrid w:val="0"/>
        <w:spacing w:line="360" w:lineRule="auto"/>
        <w:rPr>
          <w:rFonts w:hint="eastAsia" w:ascii="宋体" w:hAnsi="宋体" w:eastAsia="宋体" w:cs="宋体"/>
          <w:bCs/>
          <w:szCs w:val="24"/>
          <w:highlight w:val="none"/>
        </w:rPr>
      </w:pPr>
      <w:r>
        <w:rPr>
          <w:rFonts w:hint="eastAsia" w:ascii="宋体" w:hAnsi="宋体" w:eastAsia="宋体" w:cs="宋体"/>
          <w:bCs/>
          <w:szCs w:val="24"/>
          <w:highlight w:val="none"/>
        </w:rPr>
        <w:t>四、与质疑事项相关的质疑请求</w:t>
      </w:r>
    </w:p>
    <w:p>
      <w:pPr>
        <w:adjustRightInd w:val="0"/>
        <w:snapToGrid w:val="0"/>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请求：</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质疑人（法人公章）：</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质疑人联系人（签字或签章)：</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提出质疑的日期：   年  月  日</w:t>
      </w:r>
    </w:p>
    <w:p>
      <w:pPr>
        <w:widowControl/>
        <w:snapToGrid w:val="0"/>
        <w:spacing w:line="360" w:lineRule="auto"/>
        <w:ind w:right="84"/>
        <w:rPr>
          <w:rFonts w:hint="eastAsia" w:ascii="宋体" w:hAnsi="宋体" w:eastAsia="宋体" w:cs="宋体"/>
          <w:b/>
          <w:szCs w:val="24"/>
          <w:highlight w:val="none"/>
        </w:rPr>
      </w:pPr>
    </w:p>
    <w:p>
      <w:pPr>
        <w:widowControl/>
        <w:snapToGrid w:val="0"/>
        <w:spacing w:line="360" w:lineRule="auto"/>
        <w:ind w:right="84"/>
        <w:rPr>
          <w:rFonts w:hint="eastAsia" w:ascii="宋体" w:hAnsi="宋体" w:eastAsia="宋体" w:cs="宋体"/>
          <w:b/>
          <w:szCs w:val="24"/>
          <w:highlight w:val="none"/>
        </w:rPr>
      </w:pPr>
    </w:p>
    <w:p>
      <w:pPr>
        <w:widowControl/>
        <w:snapToGrid w:val="0"/>
        <w:spacing w:line="360" w:lineRule="auto"/>
        <w:ind w:right="84"/>
        <w:rPr>
          <w:rFonts w:hint="eastAsia" w:ascii="宋体" w:hAnsi="宋体" w:eastAsia="宋体" w:cs="宋体"/>
          <w:b/>
          <w:szCs w:val="24"/>
          <w:highlight w:val="none"/>
        </w:rPr>
      </w:pPr>
      <w:r>
        <w:rPr>
          <w:rFonts w:hint="eastAsia" w:ascii="宋体" w:hAnsi="宋体" w:eastAsia="宋体" w:cs="宋体"/>
          <w:b/>
          <w:szCs w:val="24"/>
          <w:highlight w:val="none"/>
        </w:rPr>
        <w:t>备注（1）：</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供应商提出质疑时，应提交质疑函和必要的证明材料。</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lang w:val="en-GB"/>
        </w:rPr>
        <w:t>在法定质疑期内，供应商针对同一采购程序环节的质疑须一次性提出。</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质疑函的质疑事项应具体、明确，每个质疑事项应有与之相对应的必要事实依据和法律依据。质疑事项属于涉密的，应提供信息来源或有效证据。</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供应商质疑应当有明确的请求，质疑请求应与质疑事项相关。</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质疑供应商为自然人的，质疑函应由本人签字；质疑供应商为法人或者其他组织的，质疑函应由法定代表人、主要负责人，或者其授权代表签字或者盖章，并加盖单位公章，多页时须同时加盖骑缝章。</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质疑供应商若委托代理人进行质疑的，质疑函应按要求列明“授权代表”的有关内容，并在附件中提交由质疑供应商签署的授权委托书</w:t>
      </w:r>
      <w:r>
        <w:rPr>
          <w:rFonts w:hint="eastAsia" w:ascii="宋体" w:hAnsi="宋体" w:eastAsia="宋体" w:cs="宋体"/>
          <w:b/>
          <w:szCs w:val="24"/>
          <w:highlight w:val="none"/>
        </w:rPr>
        <w:t>（格式见后）</w:t>
      </w:r>
      <w:r>
        <w:rPr>
          <w:rFonts w:hint="eastAsia" w:ascii="宋体" w:hAnsi="宋体" w:eastAsia="宋体" w:cs="宋体"/>
          <w:szCs w:val="24"/>
          <w:highlight w:val="none"/>
        </w:rPr>
        <w:t>。授权委托书应载明代理人的姓名或者名称、代理事项、具体权限、期限和相关事项。递交质疑函时，需出示代理人的身份证原件，并在受理表上进行登记、确认。</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不按上述要求拟写的质疑函，将不予受理。</w:t>
      </w:r>
    </w:p>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备注（2）</w:t>
      </w:r>
    </w:p>
    <w:p>
      <w:pPr>
        <w:numPr>
          <w:ilvl w:val="0"/>
          <w:numId w:val="54"/>
        </w:numPr>
        <w:tabs>
          <w:tab w:val="left" w:pos="562"/>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本部分格式为供应商提交质疑函时使用，不属于投标（响应）文件格式的组成部分；</w:t>
      </w:r>
    </w:p>
    <w:p>
      <w:pPr>
        <w:numPr>
          <w:ilvl w:val="0"/>
          <w:numId w:val="54"/>
        </w:numPr>
        <w:tabs>
          <w:tab w:val="left" w:pos="562"/>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供应商如需对项目提出质疑时，应按质疑函的格式提交；</w:t>
      </w:r>
    </w:p>
    <w:p>
      <w:pPr>
        <w:numPr>
          <w:ilvl w:val="0"/>
          <w:numId w:val="54"/>
        </w:numPr>
        <w:tabs>
          <w:tab w:val="left" w:pos="562"/>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提交质疑函时须同时提交授权委托书。</w:t>
      </w:r>
    </w:p>
    <w:p>
      <w:pPr>
        <w:pStyle w:val="86"/>
        <w:spacing w:line="360" w:lineRule="auto"/>
        <w:jc w:val="left"/>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b/>
          <w:color w:val="auto"/>
          <w:highlight w:val="none"/>
        </w:rPr>
        <w:t>质疑函附件：</w:t>
      </w:r>
    </w:p>
    <w:p>
      <w:pPr>
        <w:pStyle w:val="86"/>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授权委托书</w:t>
      </w:r>
    </w:p>
    <w:p>
      <w:pPr>
        <w:spacing w:line="360" w:lineRule="auto"/>
        <w:rPr>
          <w:rFonts w:hint="eastAsia" w:ascii="宋体" w:hAnsi="宋体" w:eastAsia="宋体" w:cs="宋体"/>
          <w:color w:val="FF0000"/>
          <w:szCs w:val="24"/>
          <w:highlight w:val="none"/>
        </w:rPr>
      </w:pPr>
    </w:p>
    <w:p>
      <w:pPr>
        <w:pStyle w:val="86"/>
        <w:spacing w:line="360" w:lineRule="auto"/>
        <w:ind w:left="420" w:hanging="420"/>
        <w:rPr>
          <w:rFonts w:hint="eastAsia" w:ascii="宋体" w:hAnsi="宋体" w:eastAsia="宋体" w:cs="宋体"/>
          <w:bCs/>
          <w:color w:val="000000"/>
          <w:highlight w:val="none"/>
          <w:lang w:val="en-GB"/>
        </w:rPr>
      </w:pPr>
    </w:p>
    <w:p>
      <w:pPr>
        <w:pStyle w:val="86"/>
        <w:spacing w:line="360" w:lineRule="auto"/>
        <w:ind w:left="420" w:hanging="420"/>
        <w:rPr>
          <w:rFonts w:hint="eastAsia" w:ascii="宋体" w:hAnsi="宋体" w:eastAsia="宋体" w:cs="宋体"/>
          <w:bCs/>
          <w:color w:val="000000"/>
          <w:highlight w:val="none"/>
          <w:lang w:val="en-GB"/>
        </w:rPr>
      </w:pPr>
      <w:r>
        <w:rPr>
          <w:rFonts w:hint="eastAsia" w:ascii="宋体" w:hAnsi="宋体" w:eastAsia="宋体" w:cs="宋体"/>
          <w:bCs/>
          <w:color w:val="000000"/>
          <w:highlight w:val="none"/>
          <w:lang w:val="en-GB"/>
        </w:rPr>
        <w:t xml:space="preserve">致  </w:t>
      </w:r>
      <w:r>
        <w:rPr>
          <w:rFonts w:hint="eastAsia" w:ascii="宋体" w:hAnsi="宋体" w:eastAsia="宋体" w:cs="宋体"/>
          <w:color w:val="auto"/>
          <w:highlight w:val="none"/>
          <w:u w:val="single"/>
        </w:rPr>
        <w:t>采购人名称/采购代理机构名称</w:t>
      </w:r>
      <w:r>
        <w:rPr>
          <w:rFonts w:hint="eastAsia" w:ascii="宋体" w:hAnsi="宋体" w:eastAsia="宋体" w:cs="宋体"/>
          <w:bCs/>
          <w:color w:val="000000"/>
          <w:highlight w:val="none"/>
          <w:lang w:val="en-GB"/>
        </w:rPr>
        <w:t>：</w:t>
      </w:r>
    </w:p>
    <w:p>
      <w:pPr>
        <w:pStyle w:val="86"/>
        <w:spacing w:line="360" w:lineRule="auto"/>
        <w:ind w:left="420" w:hanging="420"/>
        <w:rPr>
          <w:rFonts w:hint="eastAsia" w:ascii="宋体" w:hAnsi="宋体" w:eastAsia="宋体" w:cs="宋体"/>
          <w:bCs/>
          <w:color w:val="000000"/>
          <w:highlight w:val="none"/>
          <w:lang w:val="en-GB"/>
        </w:rPr>
      </w:pP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我单位特授权委任：以下人员作为我方唯一全权代表，前往贵单位办理政府采购业务（</w:t>
      </w:r>
      <w:r>
        <w:rPr>
          <w:rFonts w:hint="eastAsia" w:ascii="宋体" w:hAnsi="宋体" w:eastAsia="宋体" w:cs="宋体"/>
          <w:color w:val="000000"/>
          <w:highlight w:val="none"/>
          <w:u w:val="single"/>
          <w:lang w:val="en-GB"/>
        </w:rPr>
        <w:t xml:space="preserve"> 递交项目质疑函 </w:t>
      </w:r>
      <w:r>
        <w:rPr>
          <w:rFonts w:hint="eastAsia" w:ascii="宋体" w:hAnsi="宋体" w:eastAsia="宋体" w:cs="宋体"/>
          <w:color w:val="000000"/>
          <w:highlight w:val="none"/>
          <w:lang w:val="en-GB"/>
        </w:rPr>
        <w:t>），对该代表人所提供、签署的一切文书均视为符合我方的合法利益和真实意愿，我方愿为其行为承担全部责任。</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项目编号：</w:t>
      </w:r>
      <w:r>
        <w:rPr>
          <w:rFonts w:hint="eastAsia" w:ascii="宋体" w:hAnsi="宋体" w:eastAsia="宋体" w:cs="宋体"/>
          <w:highlight w:val="none"/>
        </w:rPr>
        <w:t xml:space="preserve"> </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 DOCVARIABLE  采购编号  \* MERGEFORMAT </w:instrText>
      </w:r>
      <w:r>
        <w:rPr>
          <w:rFonts w:hint="eastAsia" w:ascii="宋体" w:hAnsi="宋体" w:eastAsia="宋体" w:cs="宋体"/>
          <w:color w:val="000000"/>
          <w:highlight w:val="none"/>
        </w:rPr>
        <w:fldChar w:fldCharType="end"/>
      </w:r>
    </w:p>
    <w:p>
      <w:pPr>
        <w:pStyle w:val="86"/>
        <w:spacing w:line="360" w:lineRule="auto"/>
        <w:ind w:firstLine="480"/>
        <w:jc w:val="left"/>
        <w:rPr>
          <w:rFonts w:hint="eastAsia" w:ascii="宋体" w:hAnsi="宋体" w:eastAsia="宋体" w:cs="宋体"/>
          <w:bCs/>
          <w:highlight w:val="none"/>
        </w:rPr>
      </w:pPr>
      <w:r>
        <w:rPr>
          <w:rFonts w:hint="eastAsia" w:ascii="宋体" w:hAnsi="宋体" w:eastAsia="宋体" w:cs="宋体"/>
          <w:color w:val="000000"/>
          <w:highlight w:val="none"/>
        </w:rPr>
        <w:t>项目名称：</w:t>
      </w:r>
      <w:r>
        <w:rPr>
          <w:rFonts w:hint="eastAsia" w:ascii="宋体" w:hAnsi="宋体" w:eastAsia="宋体" w:cs="宋体"/>
          <w:highlight w:val="none"/>
        </w:rPr>
        <w:t xml:space="preserve"> </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委任授权代表姓名：</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，身份证号码：</w:t>
      </w:r>
      <w:r>
        <w:rPr>
          <w:rFonts w:hint="eastAsia" w:ascii="宋体" w:hAnsi="宋体" w:eastAsia="宋体" w:cs="宋体"/>
          <w:color w:val="000000"/>
          <w:highlight w:val="none"/>
          <w:u w:val="single"/>
        </w:rPr>
        <w:t xml:space="preserve">                    </w:t>
      </w:r>
    </w:p>
    <w:p>
      <w:pPr>
        <w:pStyle w:val="86"/>
        <w:spacing w:line="360" w:lineRule="auto"/>
        <w:ind w:firstLine="480"/>
        <w:jc w:val="left"/>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联系电话：</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；手机：</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单位联系电话</w:t>
      </w:r>
      <w:r>
        <w:rPr>
          <w:rFonts w:hint="eastAsia" w:ascii="宋体" w:hAnsi="宋体" w:eastAsia="宋体" w:cs="宋体"/>
          <w:color w:val="000000"/>
          <w:highlight w:val="none"/>
          <w:lang w:val="en-GB"/>
        </w:rPr>
        <w:t>：</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；传真：</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；邮编：</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注册地址：</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 xml:space="preserve"> </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有效期限：自本单位盖章之日起至</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年</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月</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日截止。</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特此授权证明。</w:t>
      </w:r>
    </w:p>
    <w:p>
      <w:pPr>
        <w:pStyle w:val="86"/>
        <w:spacing w:line="360" w:lineRule="auto"/>
        <w:ind w:firstLine="480"/>
        <w:rPr>
          <w:rFonts w:hint="eastAsia" w:ascii="宋体" w:hAnsi="宋体" w:eastAsia="宋体" w:cs="宋体"/>
          <w:color w:val="000000"/>
          <w:highlight w:val="none"/>
          <w:lang w:val="en-GB"/>
        </w:rPr>
      </w:pP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供应商名称：</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lang w:val="en-GB"/>
        </w:rPr>
        <w:t>（单位公章）</w:t>
      </w: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法定代表人（主要负责人）：</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lang w:val="en-GB"/>
        </w:rPr>
        <w:t>（签字或者盖章）</w:t>
      </w: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日 期 ：    年   月   日。</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注：供应商为自然人的，应当由本人签字；供应商为法人或者其他组织的，应当由法定代表人、主要负责人签字或者盖章。</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3"/>
        <w:spacing w:line="360" w:lineRule="auto"/>
        <w:jc w:val="center"/>
        <w:rPr>
          <w:rFonts w:hint="eastAsia" w:ascii="宋体" w:hAnsi="宋体" w:eastAsia="宋体" w:cs="宋体"/>
          <w:sz w:val="48"/>
          <w:szCs w:val="48"/>
          <w:highlight w:val="none"/>
        </w:rPr>
      </w:pPr>
      <w:bookmarkStart w:id="99" w:name="_Toc25158"/>
      <w:bookmarkStart w:id="100" w:name="_Toc2145"/>
      <w:r>
        <w:rPr>
          <w:rFonts w:hint="eastAsia" w:ascii="宋体" w:hAnsi="宋体" w:eastAsia="宋体" w:cs="宋体"/>
          <w:sz w:val="48"/>
          <w:szCs w:val="48"/>
          <w:highlight w:val="none"/>
        </w:rPr>
        <w:t>第四部分  合同书范本</w:t>
      </w:r>
      <w:bookmarkEnd w:id="99"/>
      <w:bookmarkEnd w:id="100"/>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ind w:left="843" w:hanging="843" w:hangingChars="350"/>
        <w:rPr>
          <w:rFonts w:hint="eastAsia" w:ascii="宋体" w:hAnsi="宋体" w:eastAsia="宋体" w:cs="宋体"/>
          <w:b/>
          <w:szCs w:val="24"/>
          <w:highlight w:val="none"/>
          <w:u w:val="double"/>
        </w:rPr>
      </w:pPr>
      <w:r>
        <w:rPr>
          <w:rFonts w:hint="eastAsia" w:ascii="宋体" w:hAnsi="宋体" w:eastAsia="宋体" w:cs="宋体"/>
          <w:b/>
          <w:szCs w:val="24"/>
          <w:highlight w:val="none"/>
          <w:u w:val="double"/>
        </w:rPr>
        <w:t>注：</w:t>
      </w:r>
    </w:p>
    <w:p>
      <w:pPr>
        <w:spacing w:line="360" w:lineRule="auto"/>
        <w:ind w:left="480" w:hanging="480" w:hangingChars="200"/>
        <w:rPr>
          <w:rFonts w:hint="eastAsia" w:ascii="宋体" w:hAnsi="宋体" w:eastAsia="宋体" w:cs="宋体"/>
          <w:szCs w:val="24"/>
          <w:highlight w:val="none"/>
        </w:rPr>
      </w:pPr>
      <w:r>
        <w:rPr>
          <w:rFonts w:hint="eastAsia" w:ascii="宋体" w:hAnsi="宋体" w:eastAsia="宋体" w:cs="宋体"/>
          <w:szCs w:val="24"/>
          <w:highlight w:val="none"/>
        </w:rPr>
        <w:t>1）本合同格式仅为合同的参考文本，合同签订双方可根据项目的具体要求进行修订。</w:t>
      </w:r>
    </w:p>
    <w:p>
      <w:pPr>
        <w:spacing w:line="360" w:lineRule="auto"/>
        <w:ind w:left="353" w:hanging="352" w:hangingChars="147"/>
        <w:rPr>
          <w:rFonts w:hint="eastAsia" w:ascii="宋体" w:hAnsi="宋体" w:eastAsia="宋体" w:cs="宋体"/>
          <w:szCs w:val="24"/>
          <w:highlight w:val="none"/>
        </w:rPr>
      </w:pPr>
      <w:r>
        <w:rPr>
          <w:rFonts w:hint="eastAsia" w:ascii="宋体" w:hAnsi="宋体" w:eastAsia="宋体" w:cs="宋体"/>
          <w:szCs w:val="24"/>
          <w:highlight w:val="none"/>
        </w:rPr>
        <w:t>2）合同标的、数量、金额、服务承诺、履约方式等必须与磋商文件和成交供应商的响应文件保持一致。</w:t>
      </w:r>
    </w:p>
    <w:p>
      <w:pPr>
        <w:spacing w:line="360" w:lineRule="auto"/>
        <w:ind w:left="353" w:hanging="352" w:hangingChars="147"/>
        <w:rPr>
          <w:rFonts w:hint="eastAsia" w:ascii="宋体" w:hAnsi="宋体" w:eastAsia="宋体" w:cs="宋体"/>
          <w:szCs w:val="24"/>
          <w:highlight w:val="none"/>
        </w:rPr>
      </w:pPr>
      <w:r>
        <w:rPr>
          <w:rFonts w:hint="eastAsia" w:ascii="宋体" w:hAnsi="宋体" w:eastAsia="宋体" w:cs="宋体"/>
          <w:szCs w:val="24"/>
          <w:highlight w:val="none"/>
        </w:rPr>
        <w:t>3）在不违反原采购方案要求和各方认可的文件内容前提下，合同当事人可对合同范本中个别非磋商文件规定和响应文件承诺的合同条款共同协商完善补充修订。</w:t>
      </w:r>
    </w:p>
    <w:p>
      <w:pPr>
        <w:spacing w:line="360" w:lineRule="auto"/>
        <w:rPr>
          <w:rFonts w:hint="eastAsia" w:ascii="宋体" w:hAnsi="宋体" w:eastAsia="宋体" w:cs="宋体"/>
          <w:szCs w:val="24"/>
          <w:highlight w:val="none"/>
        </w:rPr>
      </w:pPr>
    </w:p>
    <w:p>
      <w:pPr>
        <w:tabs>
          <w:tab w:val="left" w:pos="1440"/>
        </w:tabs>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bookmarkStart w:id="101" w:name="_Toc493868026"/>
      <w:bookmarkStart w:id="102" w:name="_Toc14679"/>
      <w:bookmarkStart w:id="103" w:name="_Toc18985701"/>
      <w:bookmarkStart w:id="104" w:name="_Toc139102697"/>
      <w:bookmarkStart w:id="105" w:name="_Toc18984943"/>
      <w:bookmarkStart w:id="106" w:name="_Toc236797303"/>
      <w:bookmarkStart w:id="107" w:name="_Toc253006779"/>
      <w:bookmarkStart w:id="108" w:name="_Toc235090220"/>
      <w:bookmarkStart w:id="109" w:name="_Toc200184839"/>
      <w:bookmarkStart w:id="110" w:name="_Toc354672400"/>
      <w:bookmarkStart w:id="111" w:name="_Toc18985535"/>
      <w:bookmarkStart w:id="112" w:name="_Toc18985581"/>
      <w:bookmarkStart w:id="113" w:name="_Toc280259784"/>
      <w:bookmarkStart w:id="114" w:name="_Toc242043928"/>
      <w:bookmarkStart w:id="115" w:name="_Toc20978"/>
      <w:bookmarkStart w:id="116" w:name="_Toc272382560"/>
      <w:bookmarkStart w:id="117" w:name="_Toc274691317"/>
    </w:p>
    <w:p>
      <w:pPr>
        <w:tabs>
          <w:tab w:val="left" w:pos="1440"/>
        </w:tabs>
        <w:spacing w:line="360" w:lineRule="auto"/>
        <w:jc w:val="center"/>
        <w:rPr>
          <w:rFonts w:hint="eastAsia" w:ascii="宋体" w:hAnsi="宋体" w:eastAsia="宋体" w:cs="宋体"/>
          <w:color w:val="000000"/>
          <w:sz w:val="48"/>
          <w:szCs w:val="48"/>
          <w:highlight w:val="none"/>
        </w:rPr>
      </w:pPr>
      <w:r>
        <w:rPr>
          <w:rFonts w:hint="eastAsia" w:ascii="宋体" w:hAnsi="宋体" w:eastAsia="宋体" w:cs="宋体"/>
          <w:color w:val="000000"/>
          <w:sz w:val="48"/>
          <w:szCs w:val="48"/>
          <w:highlight w:val="none"/>
        </w:rPr>
        <w:t>佛山市公安局</w:t>
      </w:r>
    </w:p>
    <w:p>
      <w:pPr>
        <w:spacing w:line="360" w:lineRule="auto"/>
        <w:rPr>
          <w:rFonts w:hint="eastAsia" w:ascii="宋体" w:hAnsi="宋体" w:eastAsia="宋体" w:cs="宋体"/>
          <w:color w:val="000000"/>
          <w:sz w:val="48"/>
          <w:szCs w:val="48"/>
          <w:highlight w:val="none"/>
        </w:rPr>
      </w:pPr>
    </w:p>
    <w:p>
      <w:pPr>
        <w:spacing w:line="360" w:lineRule="auto"/>
        <w:rPr>
          <w:rFonts w:hint="eastAsia" w:ascii="宋体" w:hAnsi="宋体" w:eastAsia="宋体" w:cs="宋体"/>
          <w:color w:val="000000"/>
          <w:sz w:val="48"/>
          <w:szCs w:val="48"/>
          <w:highlight w:val="none"/>
        </w:rPr>
      </w:pPr>
    </w:p>
    <w:p>
      <w:pPr>
        <w:tabs>
          <w:tab w:val="left" w:pos="1440"/>
        </w:tabs>
        <w:spacing w:line="360" w:lineRule="auto"/>
        <w:jc w:val="center"/>
        <w:rPr>
          <w:rFonts w:hint="eastAsia" w:ascii="宋体" w:hAnsi="宋体" w:eastAsia="宋体" w:cs="宋体"/>
          <w:color w:val="000000"/>
          <w:sz w:val="48"/>
          <w:szCs w:val="48"/>
          <w:highlight w:val="none"/>
        </w:rPr>
      </w:pPr>
      <w:r>
        <w:rPr>
          <w:rFonts w:hint="eastAsia" w:ascii="宋体" w:hAnsi="宋体" w:eastAsia="宋体" w:cs="宋体"/>
          <w:color w:val="000000"/>
          <w:sz w:val="48"/>
          <w:szCs w:val="48"/>
          <w:highlight w:val="none"/>
        </w:rPr>
        <w:t>合  同  书</w:t>
      </w: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合同编号：</w:t>
      </w: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采购项目编号：</w:t>
      </w: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项目名称：</w:t>
      </w:r>
      <w:r>
        <w:rPr>
          <w:rFonts w:hint="eastAsia" w:ascii="宋体" w:hAnsi="宋体" w:cs="宋体"/>
          <w:b/>
          <w:color w:val="000000"/>
          <w:szCs w:val="24"/>
          <w:highlight w:val="none"/>
          <w:lang w:eastAsia="zh-CN"/>
        </w:rPr>
        <w:t>佛山市公安局森林分局2022年购买警务辅助服务项目（第二次）</w:t>
      </w:r>
      <w:r>
        <w:rPr>
          <w:rFonts w:hint="eastAsia" w:ascii="宋体" w:hAnsi="宋体" w:eastAsia="宋体" w:cs="宋体"/>
          <w:b/>
          <w:color w:val="000000"/>
          <w:szCs w:val="24"/>
          <w:highlight w:val="none"/>
        </w:rPr>
        <w:t xml:space="preserve"> </w:t>
      </w: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ind w:left="480" w:leftChars="200" w:firstLine="2409" w:firstLineChars="1000"/>
        <w:rPr>
          <w:rFonts w:hint="eastAsia" w:ascii="宋体" w:hAnsi="宋体" w:eastAsia="宋体" w:cs="宋体"/>
          <w:b/>
          <w:color w:val="000000"/>
          <w:szCs w:val="24"/>
          <w:highlight w:val="none"/>
          <w:u w:val="single"/>
        </w:rPr>
      </w:pPr>
      <w:r>
        <w:rPr>
          <w:rFonts w:hint="eastAsia" w:ascii="宋体" w:hAnsi="宋体" w:eastAsia="宋体" w:cs="宋体"/>
          <w:b/>
          <w:color w:val="000000"/>
          <w:szCs w:val="24"/>
          <w:highlight w:val="none"/>
        </w:rPr>
        <w:t>甲方：</w:t>
      </w:r>
      <w:r>
        <w:rPr>
          <w:rFonts w:hint="eastAsia" w:ascii="宋体" w:hAnsi="宋体" w:eastAsia="宋体" w:cs="宋体"/>
          <w:b/>
          <w:color w:val="000000"/>
          <w:szCs w:val="24"/>
          <w:highlight w:val="none"/>
          <w:u w:val="single"/>
        </w:rPr>
        <w:t xml:space="preserve">         （采购人）           </w:t>
      </w:r>
    </w:p>
    <w:p>
      <w:pPr>
        <w:spacing w:line="360" w:lineRule="auto"/>
        <w:ind w:left="480" w:leftChars="200" w:firstLine="2409" w:firstLineChars="1000"/>
        <w:rPr>
          <w:rFonts w:hint="eastAsia" w:ascii="宋体" w:hAnsi="宋体" w:eastAsia="宋体" w:cs="宋体"/>
          <w:b/>
          <w:color w:val="000000"/>
          <w:szCs w:val="24"/>
          <w:highlight w:val="none"/>
          <w:u w:val="single"/>
        </w:rPr>
      </w:pPr>
      <w:r>
        <w:rPr>
          <w:rFonts w:hint="eastAsia" w:ascii="宋体" w:hAnsi="宋体" w:eastAsia="宋体" w:cs="宋体"/>
          <w:b/>
          <w:color w:val="000000"/>
          <w:szCs w:val="24"/>
          <w:highlight w:val="none"/>
        </w:rPr>
        <w:t>乙方：</w:t>
      </w:r>
      <w:r>
        <w:rPr>
          <w:rFonts w:hint="eastAsia" w:ascii="宋体" w:hAnsi="宋体" w:eastAsia="宋体" w:cs="宋体"/>
          <w:b/>
          <w:color w:val="000000"/>
          <w:szCs w:val="24"/>
          <w:highlight w:val="none"/>
          <w:u w:val="single"/>
        </w:rPr>
        <w:t xml:space="preserve">         （成交供应商）       </w:t>
      </w: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签订日期：     年    月</w:t>
      </w:r>
      <w:bookmarkEnd w:id="101"/>
      <w:bookmarkEnd w:id="102"/>
    </w:p>
    <w:p>
      <w:pPr>
        <w:spacing w:line="360" w:lineRule="auto"/>
        <w:rPr>
          <w:rFonts w:hint="eastAsia" w:ascii="宋体" w:hAnsi="宋体" w:eastAsia="宋体" w:cs="宋体"/>
          <w:b/>
          <w:color w:val="000000"/>
          <w:highlight w:val="none"/>
        </w:rPr>
      </w:pPr>
      <w:r>
        <w:rPr>
          <w:rFonts w:hint="eastAsia" w:ascii="宋体" w:hAnsi="宋体" w:eastAsia="宋体" w:cs="宋体"/>
          <w:b/>
          <w:color w:val="000000"/>
          <w:szCs w:val="24"/>
          <w:highlight w:val="none"/>
        </w:rPr>
        <w:br w:type="page"/>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宋体" w:hAnsi="宋体" w:eastAsia="宋体" w:cs="宋体"/>
          <w:b/>
          <w:color w:val="000000"/>
          <w:highlight w:val="none"/>
        </w:rPr>
        <w:t>甲      方：</w:t>
      </w:r>
      <w:r>
        <w:rPr>
          <w:rFonts w:hint="eastAsia" w:ascii="宋体" w:hAnsi="宋体" w:eastAsia="宋体" w:cs="宋体"/>
          <w:b/>
          <w:color w:val="000000"/>
          <w:highlight w:val="none"/>
          <w:u w:val="single"/>
        </w:rPr>
        <w:t xml:space="preserve"> （采购人）</w:t>
      </w:r>
    </w:p>
    <w:p>
      <w:pPr>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乙      方：</w:t>
      </w:r>
      <w:r>
        <w:rPr>
          <w:rFonts w:hint="eastAsia" w:ascii="宋体" w:hAnsi="宋体" w:eastAsia="宋体" w:cs="宋体"/>
          <w:b/>
          <w:color w:val="000000"/>
          <w:highlight w:val="none"/>
          <w:u w:val="single"/>
        </w:rPr>
        <w:t xml:space="preserve"> （成交供应商）      </w:t>
      </w:r>
    </w:p>
    <w:p>
      <w:pPr>
        <w:spacing w:line="360" w:lineRule="auto"/>
        <w:ind w:firstLine="480" w:firstLineChars="200"/>
        <w:rPr>
          <w:rFonts w:hint="eastAsia" w:ascii="宋体" w:hAnsi="宋体" w:eastAsia="宋体" w:cs="宋体"/>
          <w:color w:val="000000"/>
          <w:highlight w:val="none"/>
        </w:rPr>
      </w:pPr>
    </w:p>
    <w:p>
      <w:pPr>
        <w:spacing w:line="360" w:lineRule="auto"/>
        <w:ind w:firstLine="480" w:firstLineChars="200"/>
        <w:rPr>
          <w:rFonts w:hint="eastAsia" w:ascii="宋体" w:hAnsi="宋体" w:eastAsia="宋体" w:cs="宋体"/>
          <w:szCs w:val="21"/>
          <w:highlight w:val="none"/>
        </w:rPr>
      </w:pPr>
      <w:r>
        <w:rPr>
          <w:rFonts w:hint="eastAsia" w:ascii="宋体" w:hAnsi="宋体" w:eastAsia="宋体" w:cs="宋体"/>
          <w:color w:val="000000"/>
          <w:highlight w:val="none"/>
        </w:rPr>
        <w:t>根据</w:t>
      </w:r>
      <w:r>
        <w:rPr>
          <w:rFonts w:hint="eastAsia" w:ascii="宋体" w:hAnsi="宋体" w:cs="宋体"/>
          <w:color w:val="000000"/>
          <w:highlight w:val="none"/>
          <w:lang w:eastAsia="zh-CN"/>
        </w:rPr>
        <w:t>佛山市公安局森林分局2022年购买警务辅助服务项目（第二次）</w:t>
      </w:r>
      <w:r>
        <w:rPr>
          <w:rFonts w:hint="eastAsia" w:ascii="宋体" w:hAnsi="宋体" w:eastAsia="宋体" w:cs="宋体"/>
          <w:color w:val="000000"/>
          <w:highlight w:val="none"/>
        </w:rPr>
        <w:t>的采购结果，参照《中华人民共和国政府采购法》《中华人民共和国</w:t>
      </w:r>
      <w:r>
        <w:rPr>
          <w:rFonts w:hint="eastAsia" w:ascii="宋体" w:hAnsi="宋体" w:eastAsia="宋体" w:cs="宋体"/>
          <w:color w:val="000000"/>
          <w:highlight w:val="none"/>
          <w:lang w:eastAsia="zh-CN"/>
        </w:rPr>
        <w:t>民法典</w:t>
      </w:r>
      <w:r>
        <w:rPr>
          <w:rFonts w:hint="eastAsia" w:ascii="宋体" w:hAnsi="宋体" w:eastAsia="宋体" w:cs="宋体"/>
          <w:color w:val="000000"/>
          <w:highlight w:val="none"/>
        </w:rPr>
        <w:t>》、竞争性磋商文件的要求，</w:t>
      </w:r>
      <w:r>
        <w:rPr>
          <w:rFonts w:hint="eastAsia" w:ascii="宋体" w:hAnsi="宋体" w:eastAsia="宋体" w:cs="宋体"/>
          <w:color w:val="000000"/>
          <w:kern w:val="28"/>
          <w:highlight w:val="none"/>
        </w:rPr>
        <w:t>经双方协商，</w:t>
      </w:r>
      <w:r>
        <w:rPr>
          <w:rFonts w:hint="eastAsia" w:ascii="宋体" w:hAnsi="宋体" w:eastAsia="宋体" w:cs="宋体"/>
          <w:color w:val="000000"/>
          <w:highlight w:val="none"/>
        </w:rPr>
        <w:t>本着平等互利和诚实信用的原则，</w:t>
      </w:r>
      <w:r>
        <w:rPr>
          <w:rFonts w:hint="eastAsia" w:ascii="宋体" w:hAnsi="宋体" w:eastAsia="宋体" w:cs="宋体"/>
          <w:color w:val="000000"/>
          <w:kern w:val="28"/>
          <w:highlight w:val="none"/>
        </w:rPr>
        <w:t>一致同意签订本合同如下。</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1"/>
          <w:highlight w:val="none"/>
        </w:rPr>
      </w:pPr>
      <w:r>
        <w:rPr>
          <w:rFonts w:hint="eastAsia" w:ascii="宋体" w:hAnsi="宋体" w:eastAsia="宋体" w:cs="宋体"/>
          <w:b/>
          <w:szCs w:val="21"/>
          <w:highlight w:val="none"/>
        </w:rPr>
        <w:t>项目名称及项目编号</w:t>
      </w:r>
    </w:p>
    <w:p>
      <w:pPr>
        <w:numPr>
          <w:ilvl w:val="1"/>
          <w:numId w:val="56"/>
        </w:numPr>
        <w:spacing w:line="360" w:lineRule="auto"/>
        <w:jc w:val="left"/>
        <w:rPr>
          <w:rFonts w:hint="eastAsia" w:ascii="宋体" w:hAnsi="宋体" w:eastAsia="宋体" w:cs="宋体"/>
          <w:highlight w:val="none"/>
        </w:rPr>
      </w:pPr>
      <w:r>
        <w:rPr>
          <w:rFonts w:hint="eastAsia" w:ascii="宋体" w:hAnsi="宋体" w:eastAsia="宋体" w:cs="宋体"/>
          <w:highlight w:val="none"/>
        </w:rPr>
        <w:t>项目名称：</w:t>
      </w:r>
      <w:r>
        <w:rPr>
          <w:rFonts w:hint="eastAsia" w:ascii="宋体" w:hAnsi="宋体" w:cs="宋体"/>
          <w:szCs w:val="21"/>
          <w:highlight w:val="none"/>
          <w:lang w:eastAsia="zh-CN"/>
        </w:rPr>
        <w:t>佛山市公安局森林分局2022年购买警务辅助服务项目（第二次）</w:t>
      </w:r>
    </w:p>
    <w:p>
      <w:pPr>
        <w:numPr>
          <w:ilvl w:val="1"/>
          <w:numId w:val="56"/>
        </w:numPr>
        <w:spacing w:line="360" w:lineRule="auto"/>
        <w:jc w:val="left"/>
        <w:rPr>
          <w:rFonts w:hint="eastAsia" w:ascii="宋体" w:hAnsi="宋体" w:eastAsia="宋体" w:cs="宋体"/>
          <w:highlight w:val="none"/>
        </w:rPr>
      </w:pPr>
      <w:r>
        <w:rPr>
          <w:rFonts w:hint="eastAsia" w:ascii="宋体" w:hAnsi="宋体" w:eastAsia="宋体" w:cs="宋体"/>
          <w:highlight w:val="none"/>
        </w:rPr>
        <w:t>项目编号：</w:t>
      </w:r>
      <w:r>
        <w:rPr>
          <w:rFonts w:hint="eastAsia" w:ascii="宋体" w:hAnsi="宋体" w:cs="宋体"/>
          <w:highlight w:val="none"/>
          <w:lang w:eastAsia="zh-CN"/>
        </w:rPr>
        <w:t>fsganb20211204</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bCs/>
          <w:highlight w:val="none"/>
        </w:rPr>
      </w:pPr>
      <w:bookmarkStart w:id="118" w:name="_Toc435540759"/>
      <w:r>
        <w:rPr>
          <w:rFonts w:hint="eastAsia" w:ascii="宋体" w:hAnsi="宋体" w:eastAsia="宋体" w:cs="宋体"/>
          <w:b/>
          <w:bCs/>
          <w:highlight w:val="none"/>
        </w:rPr>
        <w:t>服务范围</w:t>
      </w:r>
    </w:p>
    <w:p>
      <w:pPr>
        <w:spacing w:line="360" w:lineRule="auto"/>
        <w:ind w:left="624"/>
        <w:jc w:val="left"/>
        <w:rPr>
          <w:rFonts w:hint="eastAsia" w:ascii="宋体" w:hAnsi="宋体" w:eastAsia="宋体" w:cs="宋体"/>
          <w:highlight w:val="none"/>
        </w:rPr>
      </w:pPr>
      <w:r>
        <w:rPr>
          <w:rFonts w:hint="eastAsia" w:ascii="宋体" w:hAnsi="宋体" w:eastAsia="宋体" w:cs="宋体"/>
          <w:highlight w:val="none"/>
        </w:rPr>
        <w:t>甲方聘请乙方提供以下服务：</w:t>
      </w:r>
    </w:p>
    <w:p>
      <w:pPr>
        <w:spacing w:line="360" w:lineRule="auto"/>
        <w:ind w:firstLine="480" w:firstLineChars="200"/>
        <w:rPr>
          <w:rFonts w:hint="eastAsia"/>
        </w:rPr>
      </w:pPr>
      <w:r>
        <w:rPr>
          <w:rFonts w:hint="eastAsia"/>
          <w:highlight w:val="none"/>
        </w:rPr>
        <w:t>协</w:t>
      </w:r>
      <w:r>
        <w:rPr>
          <w:rFonts w:hint="eastAsia"/>
          <w:highlight w:val="none"/>
          <w:lang w:val="en-US" w:eastAsia="zh-CN"/>
        </w:rPr>
        <w:t>助甲方开展文秘会务、后勤保障、宣传等辅助性工作。</w:t>
      </w:r>
    </w:p>
    <w:p>
      <w:pPr>
        <w:spacing w:line="360" w:lineRule="auto"/>
        <w:ind w:left="624"/>
        <w:jc w:val="left"/>
        <w:rPr>
          <w:rFonts w:hint="eastAsia" w:ascii="宋体" w:hAnsi="宋体" w:eastAsia="宋体" w:cs="宋体"/>
          <w:b/>
          <w:szCs w:val="21"/>
          <w:highlight w:val="none"/>
        </w:rPr>
      </w:pPr>
      <w:r>
        <w:rPr>
          <w:rFonts w:hint="eastAsia" w:ascii="宋体" w:hAnsi="宋体" w:eastAsia="宋体" w:cs="宋体"/>
          <w:highlight w:val="none"/>
        </w:rPr>
        <w:t>（双方自行完善或详见附件）</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1"/>
          <w:highlight w:val="none"/>
        </w:rPr>
      </w:pPr>
      <w:r>
        <w:rPr>
          <w:rFonts w:hint="eastAsia" w:ascii="宋体" w:hAnsi="宋体" w:eastAsia="宋体" w:cs="宋体"/>
          <w:b/>
          <w:szCs w:val="21"/>
          <w:highlight w:val="none"/>
        </w:rPr>
        <w:t>合同金额</w:t>
      </w:r>
      <w:bookmarkEnd w:id="118"/>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lang w:val="en-US" w:eastAsia="zh-CN"/>
        </w:rPr>
        <w:t>1、</w:t>
      </w:r>
      <w:r>
        <w:rPr>
          <w:rFonts w:hint="eastAsia" w:ascii="宋体" w:hAnsi="宋体" w:eastAsia="宋体" w:cs="宋体"/>
          <w:spacing w:val="0"/>
          <w:kern w:val="2"/>
          <w:szCs w:val="24"/>
          <w:highlight w:val="none"/>
        </w:rPr>
        <w:t>合同金额为（大写）：_________________元（￥_______________元）。</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lang w:val="en-US" w:eastAsia="zh-CN"/>
        </w:rPr>
        <w:t>2、</w:t>
      </w:r>
      <w:r>
        <w:rPr>
          <w:rFonts w:hint="eastAsia" w:ascii="宋体" w:hAnsi="宋体" w:eastAsia="宋体" w:cs="宋体"/>
          <w:spacing w:val="0"/>
          <w:kern w:val="2"/>
          <w:szCs w:val="24"/>
          <w:highlight w:val="none"/>
        </w:rPr>
        <w:t>合同金额为：</w:t>
      </w:r>
      <w:r>
        <w:rPr>
          <w:rFonts w:hint="eastAsia" w:ascii="宋体" w:hAnsi="宋体" w:cs="宋体"/>
          <w:kern w:val="0"/>
          <w:szCs w:val="21"/>
          <w:highlight w:val="none"/>
        </w:rPr>
        <w:t>报价</w:t>
      </w:r>
      <w:r>
        <w:rPr>
          <w:rFonts w:hint="eastAsia" w:ascii="宋体" w:hAnsi="宋体" w:cs="宋体"/>
          <w:color w:val="000000"/>
          <w:kern w:val="0"/>
          <w:szCs w:val="24"/>
          <w:highlight w:val="none"/>
        </w:rPr>
        <w:t>包含但不限于人员工资、社会保险、各类补贴、福利费、</w:t>
      </w:r>
      <w:r>
        <w:rPr>
          <w:rFonts w:hint="eastAsia"/>
          <w:highlight w:val="none"/>
        </w:rPr>
        <w:t>制服费、</w:t>
      </w:r>
      <w:r>
        <w:rPr>
          <w:rFonts w:hint="eastAsia" w:ascii="宋体" w:hAnsi="宋体" w:cs="宋体"/>
          <w:color w:val="000000"/>
          <w:kern w:val="0"/>
          <w:szCs w:val="24"/>
          <w:highlight w:val="none"/>
        </w:rPr>
        <w:t>各种税务费及合同实施过程中的不可预见费用等</w:t>
      </w:r>
      <w:r>
        <w:rPr>
          <w:rFonts w:hint="eastAsia" w:ascii="宋体" w:hAnsi="宋体" w:cs="宋体"/>
          <w:kern w:val="0"/>
          <w:szCs w:val="21"/>
          <w:highlight w:val="none"/>
        </w:rPr>
        <w:t>。</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bCs/>
          <w:szCs w:val="24"/>
          <w:highlight w:val="none"/>
        </w:rPr>
      </w:pPr>
      <w:r>
        <w:rPr>
          <w:rFonts w:hint="eastAsia" w:ascii="宋体" w:hAnsi="宋体" w:eastAsia="宋体" w:cs="宋体"/>
          <w:b/>
          <w:bCs/>
          <w:color w:val="000000"/>
          <w:kern w:val="0"/>
          <w:szCs w:val="21"/>
          <w:highlight w:val="none"/>
        </w:rPr>
        <w:t>付款方式</w:t>
      </w:r>
    </w:p>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1、</w:t>
      </w:r>
      <w:r>
        <w:rPr>
          <w:rFonts w:hint="eastAsia" w:ascii="宋体" w:hAnsi="宋体" w:cs="宋体"/>
          <w:kern w:val="0"/>
          <w:szCs w:val="24"/>
          <w:highlight w:val="none"/>
          <w:lang w:val="en-US" w:eastAsia="zh-CN"/>
        </w:rPr>
        <w:t>甲方</w:t>
      </w:r>
      <w:r>
        <w:rPr>
          <w:rFonts w:hint="eastAsia" w:ascii="宋体" w:hAnsi="宋体" w:cs="宋体"/>
          <w:kern w:val="0"/>
          <w:szCs w:val="24"/>
          <w:highlight w:val="none"/>
        </w:rPr>
        <w:t>每个季度对</w:t>
      </w:r>
      <w:r>
        <w:rPr>
          <w:rFonts w:hint="eastAsia" w:ascii="宋体" w:hAnsi="宋体" w:cs="宋体"/>
          <w:kern w:val="0"/>
          <w:szCs w:val="24"/>
          <w:highlight w:val="none"/>
          <w:lang w:val="en-US" w:eastAsia="zh-CN"/>
        </w:rPr>
        <w:t>乙方</w:t>
      </w:r>
      <w:r>
        <w:rPr>
          <w:rFonts w:hint="eastAsia" w:ascii="宋体" w:hAnsi="宋体" w:cs="宋体"/>
          <w:kern w:val="0"/>
          <w:szCs w:val="24"/>
          <w:highlight w:val="none"/>
        </w:rPr>
        <w:t>的服务进行评价，根据评价结果确定本季度的档次，根据对应的档次进行本季度服务费的结算。</w:t>
      </w:r>
    </w:p>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2、每季度服务费=</w:t>
      </w:r>
      <w:r>
        <w:rPr>
          <w:rFonts w:hint="eastAsia" w:ascii="宋体" w:hAnsi="宋体" w:cs="宋体"/>
          <w:kern w:val="0"/>
          <w:szCs w:val="24"/>
          <w:highlight w:val="none"/>
          <w:lang w:val="en-US" w:eastAsia="zh-CN"/>
        </w:rPr>
        <w:t>中标（成交）</w:t>
      </w:r>
      <w:r>
        <w:rPr>
          <w:rFonts w:hint="eastAsia" w:ascii="宋体" w:hAnsi="宋体" w:cs="宋体"/>
          <w:kern w:val="0"/>
          <w:szCs w:val="24"/>
          <w:highlight w:val="none"/>
        </w:rPr>
        <w:t>合同总金额÷4个季度×服务评价百分比。</w:t>
      </w:r>
    </w:p>
    <w:p>
      <w:pPr>
        <w:pStyle w:val="47"/>
        <w:spacing w:line="360" w:lineRule="auto"/>
        <w:rPr>
          <w:rFonts w:hint="eastAsia" w:ascii="宋体" w:hAnsi="宋体" w:cs="宋体"/>
          <w:kern w:val="0"/>
          <w:szCs w:val="24"/>
          <w:highlight w:val="none"/>
          <w:lang w:eastAsia="zh-CN"/>
        </w:rPr>
      </w:pPr>
      <w:r>
        <w:rPr>
          <w:rFonts w:hint="eastAsia" w:ascii="宋体" w:hAnsi="宋体" w:cs="宋体"/>
          <w:kern w:val="0"/>
          <w:szCs w:val="24"/>
          <w:highlight w:val="none"/>
        </w:rPr>
        <w:t>3、结算方式：</w:t>
      </w:r>
      <w:r>
        <w:rPr>
          <w:rFonts w:hint="eastAsia" w:ascii="宋体" w:hAnsi="宋体" w:cs="宋体"/>
          <w:kern w:val="0"/>
          <w:szCs w:val="24"/>
          <w:highlight w:val="none"/>
          <w:lang w:eastAsia="zh-CN"/>
        </w:rPr>
        <w:t>合同生效后，</w:t>
      </w:r>
      <w:r>
        <w:rPr>
          <w:rFonts w:hint="eastAsia" w:ascii="宋体" w:hAnsi="宋体" w:cs="宋体"/>
          <w:kern w:val="0"/>
          <w:szCs w:val="24"/>
          <w:highlight w:val="none"/>
          <w:lang w:val="en-US" w:eastAsia="zh-CN"/>
        </w:rPr>
        <w:t>甲方</w:t>
      </w:r>
      <w:r>
        <w:rPr>
          <w:rFonts w:hint="eastAsia" w:ascii="宋体" w:hAnsi="宋体" w:cs="宋体"/>
          <w:kern w:val="0"/>
          <w:szCs w:val="24"/>
          <w:highlight w:val="none"/>
          <w:lang w:eastAsia="zh-CN"/>
        </w:rPr>
        <w:t>按季度支付服务费。</w:t>
      </w:r>
      <w:r>
        <w:rPr>
          <w:rFonts w:hint="eastAsia" w:ascii="宋体" w:hAnsi="宋体" w:cs="宋体"/>
          <w:kern w:val="0"/>
          <w:szCs w:val="24"/>
          <w:highlight w:val="none"/>
          <w:lang w:val="en-US" w:eastAsia="zh-CN"/>
        </w:rPr>
        <w:t>甲方</w:t>
      </w:r>
      <w:r>
        <w:rPr>
          <w:rFonts w:hint="eastAsia" w:ascii="宋体" w:hAnsi="宋体" w:cs="宋体"/>
          <w:kern w:val="0"/>
          <w:szCs w:val="24"/>
          <w:highlight w:val="none"/>
          <w:lang w:eastAsia="zh-CN"/>
        </w:rPr>
        <w:t>在接到</w:t>
      </w:r>
      <w:r>
        <w:rPr>
          <w:rFonts w:hint="eastAsia" w:ascii="宋体" w:hAnsi="宋体" w:cs="宋体"/>
          <w:kern w:val="0"/>
          <w:szCs w:val="24"/>
          <w:highlight w:val="none"/>
          <w:lang w:val="en-US" w:eastAsia="zh-CN"/>
        </w:rPr>
        <w:t>乙方</w:t>
      </w:r>
      <w:r>
        <w:rPr>
          <w:rFonts w:hint="eastAsia" w:ascii="宋体" w:hAnsi="宋体" w:cs="宋体"/>
          <w:kern w:val="0"/>
          <w:szCs w:val="24"/>
          <w:highlight w:val="none"/>
          <w:lang w:eastAsia="zh-CN"/>
        </w:rPr>
        <w:t>提交的依法纳税的</w:t>
      </w:r>
      <w:r>
        <w:rPr>
          <w:rFonts w:hint="eastAsia" w:ascii="宋体" w:hAnsi="宋体" w:cs="宋体"/>
          <w:kern w:val="0"/>
          <w:szCs w:val="24"/>
          <w:highlight w:val="none"/>
        </w:rPr>
        <w:t>服务</w:t>
      </w:r>
      <w:r>
        <w:rPr>
          <w:rFonts w:hint="eastAsia" w:ascii="宋体" w:hAnsi="宋体" w:cs="宋体"/>
          <w:kern w:val="0"/>
          <w:szCs w:val="24"/>
          <w:highlight w:val="none"/>
          <w:lang w:eastAsia="zh-CN"/>
        </w:rPr>
        <w:t>费</w:t>
      </w:r>
      <w:r>
        <w:rPr>
          <w:rFonts w:hint="eastAsia" w:ascii="宋体" w:hAnsi="宋体" w:cs="宋体"/>
          <w:kern w:val="0"/>
          <w:szCs w:val="24"/>
          <w:highlight w:val="none"/>
        </w:rPr>
        <w:t>发票</w:t>
      </w:r>
      <w:r>
        <w:rPr>
          <w:rFonts w:hint="eastAsia" w:ascii="宋体" w:hAnsi="宋体" w:cs="宋体"/>
          <w:kern w:val="0"/>
          <w:szCs w:val="24"/>
          <w:highlight w:val="none"/>
          <w:lang w:eastAsia="zh-CN"/>
        </w:rPr>
        <w:t>后</w:t>
      </w:r>
      <w:r>
        <w:rPr>
          <w:rFonts w:hint="eastAsia" w:ascii="宋体" w:hAnsi="宋体" w:cs="宋体"/>
          <w:kern w:val="0"/>
          <w:szCs w:val="24"/>
          <w:highlight w:val="none"/>
        </w:rPr>
        <w:t>，</w:t>
      </w:r>
      <w:r>
        <w:rPr>
          <w:rFonts w:hint="eastAsia" w:ascii="宋体" w:hAnsi="宋体" w:cs="宋体"/>
          <w:kern w:val="0"/>
          <w:szCs w:val="24"/>
          <w:highlight w:val="none"/>
          <w:lang w:eastAsia="zh-CN"/>
        </w:rPr>
        <w:t>结合每季度对</w:t>
      </w:r>
      <w:r>
        <w:rPr>
          <w:rFonts w:hint="eastAsia" w:ascii="宋体" w:hAnsi="宋体" w:cs="宋体"/>
          <w:kern w:val="0"/>
          <w:szCs w:val="24"/>
          <w:highlight w:val="none"/>
          <w:lang w:val="en-US" w:eastAsia="zh-CN"/>
        </w:rPr>
        <w:t>乙方</w:t>
      </w:r>
      <w:r>
        <w:rPr>
          <w:rFonts w:hint="eastAsia" w:ascii="宋体" w:hAnsi="宋体" w:cs="宋体"/>
          <w:kern w:val="0"/>
          <w:szCs w:val="24"/>
          <w:highlight w:val="none"/>
          <w:lang w:eastAsia="zh-CN"/>
        </w:rPr>
        <w:t>的服务质量考核情况，于每季度的末月上旬支付当季服务费用。</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bookmarkStart w:id="119" w:name="_Toc435540764"/>
      <w:r>
        <w:rPr>
          <w:rFonts w:hint="eastAsia" w:ascii="宋体" w:hAnsi="宋体" w:eastAsia="宋体" w:cs="宋体"/>
          <w:b/>
          <w:szCs w:val="21"/>
          <w:highlight w:val="none"/>
        </w:rPr>
        <w:t>项目服务地点</w:t>
      </w:r>
    </w:p>
    <w:p>
      <w:pPr>
        <w:pStyle w:val="47"/>
        <w:spacing w:line="360" w:lineRule="auto"/>
        <w:ind w:firstLine="520" w:firstLineChars="200"/>
        <w:rPr>
          <w:rFonts w:hint="eastAsia" w:ascii="宋体" w:hAnsi="宋体" w:eastAsia="宋体" w:cs="宋体"/>
          <w:highlight w:val="none"/>
        </w:rPr>
      </w:pPr>
      <w:r>
        <w:rPr>
          <w:rFonts w:hint="eastAsia" w:ascii="宋体" w:hAnsi="宋体" w:eastAsia="宋体" w:cs="宋体"/>
          <w:szCs w:val="21"/>
          <w:highlight w:val="none"/>
        </w:rPr>
        <w:t>甲方（用户）指定地点。</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项目</w:t>
      </w:r>
      <w:r>
        <w:rPr>
          <w:rFonts w:hint="eastAsia" w:ascii="宋体" w:hAnsi="宋体" w:eastAsia="宋体" w:cs="宋体"/>
          <w:b/>
          <w:szCs w:val="24"/>
          <w:highlight w:val="none"/>
          <w:lang w:val="en-US" w:eastAsia="zh-CN"/>
        </w:rPr>
        <w:t>服务</w:t>
      </w:r>
      <w:r>
        <w:rPr>
          <w:rFonts w:hint="eastAsia" w:ascii="宋体" w:hAnsi="宋体" w:eastAsia="宋体" w:cs="宋体"/>
          <w:b/>
          <w:szCs w:val="24"/>
          <w:highlight w:val="none"/>
        </w:rPr>
        <w:t>期</w:t>
      </w:r>
    </w:p>
    <w:p>
      <w:pPr>
        <w:spacing w:line="360" w:lineRule="auto"/>
        <w:ind w:firstLine="480" w:firstLineChars="200"/>
        <w:rPr>
          <w:rFonts w:hint="eastAsia" w:ascii="宋体" w:hAnsi="宋体" w:eastAsia="宋体" w:cs="宋体"/>
          <w:b/>
          <w:bCs/>
          <w:caps/>
          <w:highlight w:val="none"/>
        </w:rPr>
      </w:pPr>
      <w:r>
        <w:rPr>
          <w:rFonts w:hint="eastAsia" w:ascii="宋体" w:hAnsi="宋体" w:cs="宋体"/>
          <w:szCs w:val="24"/>
          <w:highlight w:val="none"/>
        </w:rPr>
        <w:t>自合同签订生效之日起1年。</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付款要求</w:t>
      </w:r>
    </w:p>
    <w:p>
      <w:pPr>
        <w:pStyle w:val="47"/>
        <w:spacing w:line="360" w:lineRule="auto"/>
        <w:ind w:firstLine="480" w:firstLineChars="200"/>
        <w:rPr>
          <w:highlight w:val="none"/>
        </w:rPr>
      </w:pPr>
      <w:r>
        <w:rPr>
          <w:rFonts w:hint="eastAsia" w:ascii="宋体" w:hAnsi="宋体" w:eastAsia="宋体" w:cs="宋体"/>
          <w:spacing w:val="0"/>
          <w:kern w:val="2"/>
          <w:szCs w:val="24"/>
          <w:highlight w:val="none"/>
        </w:rPr>
        <w:t>1、</w:t>
      </w:r>
      <w:r>
        <w:rPr>
          <w:rFonts w:hint="eastAsia"/>
          <w:highlight w:val="none"/>
          <w:lang w:val="en-US" w:eastAsia="zh-CN"/>
        </w:rPr>
        <w:t>乙方</w:t>
      </w:r>
      <w:r>
        <w:rPr>
          <w:highlight w:val="none"/>
        </w:rPr>
        <w:t>每季度须向</w:t>
      </w:r>
      <w:r>
        <w:rPr>
          <w:rFonts w:hint="eastAsia"/>
          <w:highlight w:val="none"/>
          <w:lang w:val="en-US" w:eastAsia="zh-CN"/>
        </w:rPr>
        <w:t>甲方</w:t>
      </w:r>
      <w:r>
        <w:rPr>
          <w:highlight w:val="none"/>
        </w:rPr>
        <w:t>提供依法纳税的服务费发票</w:t>
      </w:r>
      <w:r>
        <w:rPr>
          <w:rFonts w:hint="eastAsia"/>
          <w:highlight w:val="none"/>
        </w:rPr>
        <w:t>。</w:t>
      </w:r>
    </w:p>
    <w:p>
      <w:pPr>
        <w:numPr>
          <w:ilvl w:val="0"/>
          <w:numId w:val="0"/>
        </w:numPr>
        <w:spacing w:line="360" w:lineRule="auto"/>
        <w:ind w:leftChars="0" w:firstLine="480" w:firstLineChars="200"/>
        <w:rPr>
          <w:highlight w:val="none"/>
        </w:rPr>
      </w:pPr>
      <w:r>
        <w:rPr>
          <w:rFonts w:hint="eastAsia"/>
          <w:highlight w:val="none"/>
          <w:lang w:val="en-US" w:eastAsia="zh-CN"/>
        </w:rPr>
        <w:t>2、</w:t>
      </w:r>
      <w:r>
        <w:rPr>
          <w:highlight w:val="none"/>
        </w:rPr>
        <w:t>服务费以转账方式转入</w:t>
      </w:r>
      <w:r>
        <w:rPr>
          <w:rFonts w:hint="eastAsia"/>
          <w:highlight w:val="none"/>
          <w:lang w:val="en-US" w:eastAsia="zh-CN"/>
        </w:rPr>
        <w:t>乙方</w:t>
      </w:r>
      <w:r>
        <w:rPr>
          <w:highlight w:val="none"/>
        </w:rPr>
        <w:t>的银行账户。</w:t>
      </w:r>
    </w:p>
    <w:p>
      <w:pPr>
        <w:pStyle w:val="47"/>
        <w:spacing w:line="360" w:lineRule="auto"/>
        <w:ind w:firstLine="520" w:firstLineChars="200"/>
        <w:rPr>
          <w:rFonts w:hint="eastAsia" w:ascii="宋体" w:hAnsi="宋体" w:eastAsia="宋体" w:cs="宋体"/>
          <w:spacing w:val="0"/>
          <w:kern w:val="2"/>
          <w:szCs w:val="24"/>
          <w:highlight w:val="none"/>
        </w:rPr>
      </w:pPr>
      <w:r>
        <w:rPr>
          <w:highlight w:val="none"/>
        </w:rPr>
        <w:t>收款方、出具发票方、合同乙方均必须与中标</w:t>
      </w:r>
      <w:r>
        <w:rPr>
          <w:rFonts w:hint="eastAsia"/>
          <w:szCs w:val="21"/>
          <w:highlight w:val="none"/>
        </w:rPr>
        <w:t>（成交）</w:t>
      </w:r>
      <w:r>
        <w:rPr>
          <w:highlight w:val="none"/>
        </w:rPr>
        <w:t>供应商名称一致。</w:t>
      </w:r>
      <w:r>
        <w:rPr>
          <w:rFonts w:hint="eastAsia" w:ascii="宋体" w:hAnsi="宋体" w:cs="宋体"/>
          <w:kern w:val="0"/>
          <w:szCs w:val="24"/>
          <w:highlight w:val="none"/>
        </w:rPr>
        <w:t>支付日期不包含财政部门审核日期。</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重要保密说明</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w:t>
      </w:r>
      <w:r>
        <w:rPr>
          <w:rFonts w:hint="eastAsia" w:ascii="宋体" w:hAnsi="宋体" w:cs="宋体"/>
          <w:spacing w:val="0"/>
          <w:kern w:val="2"/>
          <w:szCs w:val="24"/>
          <w:highlight w:val="none"/>
          <w:lang w:val="en-US" w:eastAsia="zh-CN"/>
        </w:rPr>
        <w:t>乙方</w:t>
      </w:r>
      <w:r>
        <w:rPr>
          <w:rFonts w:hint="eastAsia" w:ascii="宋体" w:hAnsi="宋体" w:eastAsia="宋体" w:cs="宋体"/>
          <w:spacing w:val="0"/>
          <w:kern w:val="2"/>
          <w:szCs w:val="24"/>
          <w:highlight w:val="none"/>
        </w:rPr>
        <w:t>必须将原始资料及数据全部交还</w:t>
      </w:r>
      <w:r>
        <w:rPr>
          <w:rFonts w:hint="eastAsia" w:ascii="宋体" w:hAnsi="宋体" w:cs="宋体"/>
          <w:spacing w:val="0"/>
          <w:kern w:val="2"/>
          <w:szCs w:val="24"/>
          <w:highlight w:val="none"/>
          <w:lang w:val="en-US" w:eastAsia="zh-CN"/>
        </w:rPr>
        <w:t>甲方</w:t>
      </w:r>
      <w:r>
        <w:rPr>
          <w:rFonts w:hint="eastAsia" w:ascii="宋体" w:hAnsi="宋体" w:eastAsia="宋体" w:cs="宋体"/>
          <w:spacing w:val="0"/>
          <w:kern w:val="2"/>
          <w:szCs w:val="24"/>
          <w:highlight w:val="none"/>
        </w:rPr>
        <w:t>。</w:t>
      </w:r>
      <w:r>
        <w:rPr>
          <w:rFonts w:hint="eastAsia" w:ascii="宋体" w:hAnsi="宋体" w:cs="宋体"/>
          <w:spacing w:val="0"/>
          <w:kern w:val="2"/>
          <w:szCs w:val="24"/>
          <w:highlight w:val="none"/>
          <w:lang w:val="en-US" w:eastAsia="zh-CN"/>
        </w:rPr>
        <w:t>乙方</w:t>
      </w:r>
      <w:r>
        <w:rPr>
          <w:rFonts w:hint="eastAsia" w:ascii="宋体" w:hAnsi="宋体" w:eastAsia="宋体" w:cs="宋体"/>
          <w:spacing w:val="0"/>
          <w:kern w:val="2"/>
          <w:szCs w:val="24"/>
          <w:highlight w:val="none"/>
        </w:rPr>
        <w:t>不得对原始资料进行拷贝、扩散、转卖或用作其他用途。</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2、该保密义务在本合同期满、解除或终止后仍然有效。</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3、根据佛山市公安局的相关保密要求，</w:t>
      </w:r>
      <w:r>
        <w:rPr>
          <w:rFonts w:hint="eastAsia" w:ascii="宋体" w:hAnsi="宋体" w:cs="宋体"/>
          <w:spacing w:val="0"/>
          <w:kern w:val="2"/>
          <w:szCs w:val="24"/>
          <w:highlight w:val="none"/>
          <w:lang w:val="en-US" w:eastAsia="zh-CN"/>
        </w:rPr>
        <w:t>乙方</w:t>
      </w:r>
      <w:r>
        <w:rPr>
          <w:rFonts w:hint="eastAsia" w:ascii="宋体" w:hAnsi="宋体" w:eastAsia="宋体" w:cs="宋体"/>
          <w:spacing w:val="0"/>
          <w:kern w:val="2"/>
          <w:szCs w:val="24"/>
          <w:highlight w:val="none"/>
        </w:rPr>
        <w:t>须与</w:t>
      </w:r>
      <w:r>
        <w:rPr>
          <w:rFonts w:hint="eastAsia" w:ascii="宋体" w:hAnsi="宋体" w:cs="宋体"/>
          <w:spacing w:val="0"/>
          <w:kern w:val="2"/>
          <w:szCs w:val="24"/>
          <w:highlight w:val="none"/>
          <w:lang w:val="en-US" w:eastAsia="zh-CN"/>
        </w:rPr>
        <w:t>甲方</w:t>
      </w:r>
      <w:r>
        <w:rPr>
          <w:rFonts w:hint="eastAsia" w:ascii="宋体" w:hAnsi="宋体" w:eastAsia="宋体" w:cs="宋体"/>
          <w:spacing w:val="0"/>
          <w:kern w:val="2"/>
          <w:szCs w:val="24"/>
          <w:highlight w:val="none"/>
        </w:rPr>
        <w:t>签订保密协议。</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bCs/>
          <w:highlight w:val="none"/>
        </w:rPr>
        <w:t>服务质量考核依次序对照执行标准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1、符合中华人民共和国国家和履约地相关安全质量标准、行业技术规范标准；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2、符合竞争性磋商文件和响应承诺中甲方认可的合理最佳配置、计划安排及各项要求；</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3、甲方、乙方双方约定的考核标准。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上述各类标准与法规必须是有关官方机构最新发布的现行标准版本。</w:t>
      </w:r>
      <w:bookmarkEnd w:id="119"/>
      <w:bookmarkStart w:id="120" w:name="_Toc435540767"/>
    </w:p>
    <w:p>
      <w:pPr>
        <w:numPr>
          <w:ilvl w:val="0"/>
          <w:numId w:val="55"/>
        </w:numPr>
        <w:tabs>
          <w:tab w:val="left" w:pos="1712"/>
        </w:tabs>
        <w:autoSpaceDE w:val="0"/>
        <w:autoSpaceDN w:val="0"/>
        <w:adjustRightInd w:val="0"/>
        <w:spacing w:line="360" w:lineRule="auto"/>
        <w:ind w:left="506" w:hanging="506" w:hangingChars="210"/>
        <w:jc w:val="left"/>
        <w:outlineLvl w:val="2"/>
        <w:rPr>
          <w:rFonts w:hint="default" w:ascii="宋体" w:hAnsi="宋体" w:eastAsia="宋体" w:cs="宋体"/>
          <w:b/>
          <w:bCs/>
          <w:highlight w:val="none"/>
          <w:lang w:val="en-US" w:eastAsia="zh-CN"/>
        </w:rPr>
      </w:pPr>
      <w:r>
        <w:rPr>
          <w:rFonts w:hint="eastAsia" w:ascii="宋体" w:hAnsi="宋体" w:cs="宋体"/>
          <w:b/>
          <w:bCs/>
          <w:highlight w:val="none"/>
          <w:lang w:val="en-US" w:eastAsia="zh-CN"/>
        </w:rPr>
        <w:t xml:space="preserve">服务内容及详细要求： </w:t>
      </w:r>
    </w:p>
    <w:tbl>
      <w:tblPr>
        <w:tblStyle w:val="44"/>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946"/>
        <w:gridCol w:w="946"/>
        <w:gridCol w:w="946"/>
        <w:gridCol w:w="949"/>
        <w:gridCol w:w="90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892"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服务岗位</w:t>
            </w:r>
          </w:p>
        </w:tc>
        <w:tc>
          <w:tcPr>
            <w:tcW w:w="3787" w:type="dxa"/>
            <w:gridSpan w:val="4"/>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条件要求</w:t>
            </w:r>
          </w:p>
        </w:tc>
        <w:tc>
          <w:tcPr>
            <w:tcW w:w="90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人数</w:t>
            </w:r>
          </w:p>
        </w:tc>
        <w:tc>
          <w:tcPr>
            <w:tcW w:w="423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892"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性别</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年龄</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学历</w:t>
            </w:r>
          </w:p>
        </w:tc>
        <w:tc>
          <w:tcPr>
            <w:tcW w:w="949"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专业</w:t>
            </w:r>
          </w:p>
        </w:tc>
        <w:tc>
          <w:tcPr>
            <w:tcW w:w="90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423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1</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中文、法学类优先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pStyle w:val="64"/>
              <w:spacing w:line="360" w:lineRule="auto"/>
              <w:jc w:val="both"/>
              <w:rPr>
                <w:rFonts w:hint="eastAsia" w:ascii="宋体" w:hAnsi="宋体" w:eastAsia="宋体" w:cs="宋体"/>
                <w:spacing w:val="0"/>
                <w:kern w:val="2"/>
                <w:sz w:val="21"/>
                <w:szCs w:val="21"/>
                <w:highlight w:val="none"/>
              </w:rPr>
            </w:pPr>
            <w:r>
              <w:rPr>
                <w:rFonts w:hint="eastAsia" w:ascii="宋体" w:hAnsi="宋体" w:eastAsia="宋体" w:cs="宋体"/>
                <w:spacing w:val="0"/>
                <w:kern w:val="2"/>
                <w:sz w:val="21"/>
                <w:szCs w:val="21"/>
                <w:highlight w:val="none"/>
                <w:lang w:val="en-US" w:eastAsia="zh-CN" w:bidi="ar-SA"/>
              </w:rPr>
              <w:t>具备中国国籍，拥护党的领导和国家宪法，具备正常履职身体条件，无犯罪记录，签订保密协议。适应森林公安运作工作模式，沟通表达能力强，具备一定法律知识，熟练操作计算机，需服从分配。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2</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具备中国国籍，拥护党的领导和国家宪法，具备正常履职身体条件，无犯罪记录，签订保密协议。适应森林公安运作工作模式，具有一定管理能力，熟练操作计算机，需服从分配。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lang w:val="en-US"/>
              </w:rPr>
            </w:pPr>
            <w:r>
              <w:rPr>
                <w:rFonts w:hint="eastAsia"/>
                <w:lang w:eastAsia="zh-CN"/>
              </w:rPr>
              <w:t>岗位</w:t>
            </w:r>
            <w:r>
              <w:rPr>
                <w:rFonts w:hint="eastAsia"/>
                <w:lang w:val="en-US" w:eastAsia="zh-CN"/>
              </w:rPr>
              <w:t>3</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具备中国国籍，拥护党的领导和国家宪法，具备正常履职身体条件，无犯罪记录，签订保密协议。适应森林公安运作工作模式，具有一定文字表达能力，能基本操作计算机，需服从分配。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4</w:t>
            </w:r>
          </w:p>
        </w:tc>
        <w:tc>
          <w:tcPr>
            <w:tcW w:w="946"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男</w:t>
            </w:r>
            <w:r>
              <w:rPr>
                <w:rFonts w:hint="eastAsia" w:ascii="宋体" w:hAnsi="宋体" w:cs="宋体"/>
                <w:sz w:val="21"/>
                <w:szCs w:val="21"/>
                <w:highlight w:val="none"/>
                <w:lang w:val="en-US" w:eastAsia="zh-CN"/>
              </w:rPr>
              <w:t>/女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具备中国国籍，拥护党的领导和国家宪法，具备正常履职身体条件，无犯罪记录，签订保密协议。适应森林公安运作工作模式，执行力强，能基本操作计算机，需服从分配。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5</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eastAsia="zh-CN"/>
              </w:rPr>
              <w:t>财务类、</w:t>
            </w:r>
            <w:r>
              <w:rPr>
                <w:rFonts w:hint="eastAsia" w:ascii="宋体" w:hAnsi="宋体" w:eastAsia="宋体" w:cs="宋体"/>
                <w:sz w:val="21"/>
                <w:szCs w:val="21"/>
                <w:highlight w:val="none"/>
              </w:rPr>
              <w:t>会计类</w:t>
            </w:r>
            <w:r>
              <w:rPr>
                <w:rFonts w:hint="eastAsia" w:ascii="宋体" w:hAnsi="宋体" w:cs="宋体"/>
                <w:sz w:val="21"/>
                <w:szCs w:val="21"/>
                <w:highlight w:val="none"/>
                <w:lang w:eastAsia="zh-CN"/>
              </w:rPr>
              <w:t>专业</w:t>
            </w:r>
            <w:r>
              <w:rPr>
                <w:rFonts w:hint="eastAsia" w:ascii="宋体" w:hAnsi="宋体" w:eastAsia="宋体" w:cs="宋体"/>
                <w:sz w:val="21"/>
                <w:szCs w:val="21"/>
                <w:highlight w:val="none"/>
              </w:rPr>
              <w:t>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不少于2人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具备中国国籍，拥护党的领导和国家宪法，具备正常履职身体条件，无犯罪记录，签订保密协议。适应森林公安运作工作模式，具有一定会计专业能力，能基本操作计算机，需服从分配。</w:t>
            </w:r>
          </w:p>
        </w:tc>
      </w:tr>
    </w:tbl>
    <w:p>
      <w:pPr>
        <w:numPr>
          <w:ilvl w:val="0"/>
          <w:numId w:val="55"/>
        </w:numPr>
        <w:autoSpaceDE w:val="0"/>
        <w:autoSpaceDN w:val="0"/>
        <w:adjustRightInd w:val="0"/>
        <w:spacing w:line="360" w:lineRule="auto"/>
        <w:ind w:left="506" w:hanging="506" w:hangingChars="210"/>
        <w:jc w:val="left"/>
        <w:outlineLvl w:val="2"/>
        <w:rPr>
          <w:rFonts w:hint="default" w:ascii="宋体" w:hAnsi="宋体" w:eastAsia="宋体" w:cs="宋体"/>
          <w:b/>
          <w:bCs/>
          <w:highlight w:val="none"/>
          <w:lang w:val="en-US" w:eastAsia="zh-CN"/>
        </w:rPr>
      </w:pPr>
      <w:r>
        <w:rPr>
          <w:rFonts w:hint="eastAsia" w:ascii="宋体" w:hAnsi="宋体" w:eastAsia="宋体" w:cs="宋体"/>
          <w:b/>
          <w:bCs/>
          <w:highlight w:val="none"/>
        </w:rPr>
        <w:t>服务</w:t>
      </w:r>
      <w:r>
        <w:rPr>
          <w:rFonts w:hint="eastAsia" w:ascii="宋体" w:hAnsi="宋体" w:eastAsia="宋体" w:cs="宋体"/>
          <w:b/>
          <w:bCs/>
          <w:highlight w:val="none"/>
          <w:lang w:eastAsia="zh-CN"/>
        </w:rPr>
        <w:t>要求</w:t>
      </w:r>
      <w:r>
        <w:rPr>
          <w:rFonts w:hint="eastAsia" w:ascii="宋体" w:hAnsi="宋体" w:eastAsia="宋体" w:cs="宋体"/>
          <w:b/>
          <w:bCs/>
          <w:highlight w:val="none"/>
        </w:rPr>
        <w:t>：</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（一）工作时间：</w:t>
      </w:r>
      <w:r>
        <w:rPr>
          <w:rFonts w:hint="eastAsia" w:ascii="宋体" w:hAnsi="宋体" w:cs="宋体"/>
          <w:szCs w:val="24"/>
          <w:highlight w:val="none"/>
          <w:lang w:eastAsia="zh-CN"/>
        </w:rPr>
        <w:t>按</w:t>
      </w:r>
      <w:r>
        <w:rPr>
          <w:rFonts w:hint="eastAsia" w:ascii="宋体" w:hAnsi="宋体" w:cs="宋体"/>
          <w:szCs w:val="24"/>
          <w:highlight w:val="none"/>
          <w:lang w:val="en-US" w:eastAsia="zh-CN"/>
        </w:rPr>
        <w:t>甲方</w:t>
      </w:r>
      <w:r>
        <w:rPr>
          <w:rFonts w:hint="eastAsia" w:ascii="宋体" w:hAnsi="宋体" w:cs="宋体"/>
          <w:szCs w:val="24"/>
          <w:highlight w:val="none"/>
          <w:lang w:eastAsia="zh-CN"/>
        </w:rPr>
        <w:t>排班顺序，每天应有</w:t>
      </w:r>
      <w:r>
        <w:rPr>
          <w:rFonts w:hint="eastAsia" w:ascii="宋体" w:hAnsi="宋体" w:cs="宋体"/>
          <w:szCs w:val="24"/>
          <w:highlight w:val="none"/>
          <w:lang w:val="en-US" w:eastAsia="zh-CN"/>
        </w:rPr>
        <w:t>1名人员24小时值班，其余人员按照（周一至周五）8小时正常上班制度；特殊情况下（如遇节假日、重大会议期间、重要时间节点等）或因工作需要</w:t>
      </w:r>
      <w:r>
        <w:rPr>
          <w:rFonts w:hint="eastAsia" w:ascii="宋体" w:hAnsi="宋体"/>
          <w:highlight w:val="none"/>
        </w:rPr>
        <w:t>，具体上班时间以</w:t>
      </w:r>
      <w:r>
        <w:rPr>
          <w:rFonts w:hint="eastAsia" w:ascii="宋体" w:hAnsi="宋体"/>
          <w:highlight w:val="none"/>
          <w:lang w:val="en-US" w:eastAsia="zh-CN"/>
        </w:rPr>
        <w:t>甲方</w:t>
      </w:r>
      <w:r>
        <w:rPr>
          <w:rFonts w:hint="eastAsia" w:ascii="宋体" w:hAnsi="宋体"/>
          <w:highlight w:val="none"/>
        </w:rPr>
        <w:t>分配为准</w:t>
      </w:r>
      <w:r>
        <w:rPr>
          <w:rFonts w:hint="eastAsia" w:ascii="宋体" w:hAnsi="宋体" w:cs="宋体"/>
          <w:szCs w:val="24"/>
          <w:highlight w:val="none"/>
        </w:rPr>
        <w:t>。</w:t>
      </w:r>
    </w:p>
    <w:p>
      <w:pPr>
        <w:pStyle w:val="47"/>
        <w:spacing w:line="360" w:lineRule="auto"/>
        <w:ind w:firstLine="520" w:firstLineChars="200"/>
        <w:rPr>
          <w:rFonts w:hint="default"/>
          <w:highlight w:val="none"/>
          <w:lang w:val="en-US" w:eastAsia="zh-CN"/>
        </w:rPr>
      </w:pPr>
      <w:r>
        <w:rPr>
          <w:rFonts w:hint="eastAsia" w:ascii="宋体" w:hAnsi="宋体" w:cs="宋体"/>
          <w:szCs w:val="24"/>
          <w:highlight w:val="none"/>
        </w:rPr>
        <w:t>（二）服务地点：佛山市公安局</w:t>
      </w:r>
      <w:r>
        <w:rPr>
          <w:rFonts w:hint="eastAsia" w:ascii="宋体" w:hAnsi="宋体" w:cs="宋体"/>
          <w:szCs w:val="24"/>
          <w:highlight w:val="none"/>
          <w:lang w:eastAsia="zh-CN"/>
        </w:rPr>
        <w:t>森林分局</w:t>
      </w:r>
      <w:r>
        <w:rPr>
          <w:rFonts w:hint="eastAsia" w:ascii="宋体" w:hAnsi="宋体" w:cs="宋体"/>
          <w:szCs w:val="24"/>
          <w:highlight w:val="none"/>
        </w:rPr>
        <w:t>；地址：佛山市禅城区</w:t>
      </w:r>
      <w:r>
        <w:rPr>
          <w:rFonts w:hint="eastAsia" w:ascii="宋体" w:hAnsi="宋体" w:cs="宋体"/>
          <w:szCs w:val="24"/>
          <w:highlight w:val="none"/>
          <w:lang w:eastAsia="zh-CN"/>
        </w:rPr>
        <w:t>金鱼街</w:t>
      </w:r>
      <w:r>
        <w:rPr>
          <w:rFonts w:hint="eastAsia" w:ascii="宋体" w:hAnsi="宋体" w:cs="宋体"/>
          <w:szCs w:val="24"/>
          <w:highlight w:val="none"/>
          <w:lang w:val="en-US" w:eastAsia="zh-CN"/>
        </w:rPr>
        <w:t>113号（佛山市水利局大院内）</w:t>
      </w:r>
      <w:r>
        <w:rPr>
          <w:rFonts w:hint="eastAsia" w:ascii="宋体" w:hAnsi="宋体" w:cs="宋体"/>
          <w:szCs w:val="24"/>
          <w:highlight w:val="none"/>
        </w:rPr>
        <w:t>。</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 w:val="24"/>
          <w:szCs w:val="24"/>
          <w:highlight w:val="none"/>
        </w:rPr>
      </w:pPr>
      <w:r>
        <w:rPr>
          <w:rFonts w:hint="eastAsia" w:ascii="宋体" w:hAnsi="宋体" w:cs="宋体"/>
          <w:b/>
          <w:sz w:val="24"/>
          <w:szCs w:val="24"/>
          <w:highlight w:val="none"/>
          <w:lang w:eastAsia="zh-CN"/>
        </w:rPr>
        <w:t>工作纪律</w:t>
      </w:r>
      <w:r>
        <w:rPr>
          <w:rFonts w:hint="eastAsia" w:ascii="宋体" w:hAnsi="宋体" w:cs="宋体"/>
          <w:b/>
          <w:sz w:val="24"/>
          <w:szCs w:val="24"/>
          <w:highlight w:val="none"/>
        </w:rPr>
        <w:t>：</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（一）保密纪律：应遵守公安保密纪律，不得报送、传播虚假信息，未经批准不得以任何借口泄露</w:t>
      </w:r>
      <w:r>
        <w:rPr>
          <w:rFonts w:hint="eastAsia" w:ascii="宋体" w:hAnsi="宋体" w:cs="宋体"/>
          <w:szCs w:val="24"/>
          <w:highlight w:val="none"/>
          <w:lang w:val="en-US" w:eastAsia="zh-CN"/>
        </w:rPr>
        <w:t>甲方</w:t>
      </w:r>
      <w:r>
        <w:rPr>
          <w:rFonts w:hint="eastAsia" w:ascii="宋体" w:hAnsi="宋体" w:cs="宋体"/>
          <w:szCs w:val="24"/>
          <w:highlight w:val="none"/>
        </w:rPr>
        <w:t>的内部信息。</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（二）交接班纪律：应按时到岗交接班，</w:t>
      </w:r>
      <w:r>
        <w:rPr>
          <w:rFonts w:hint="eastAsia" w:ascii="宋体" w:hAnsi="宋体" w:cs="宋体"/>
          <w:szCs w:val="24"/>
          <w:highlight w:val="none"/>
          <w:lang w:val="en-US" w:eastAsia="zh-CN"/>
        </w:rPr>
        <w:t>乙方</w:t>
      </w:r>
      <w:r>
        <w:rPr>
          <w:rFonts w:hint="eastAsia" w:ascii="宋体" w:hAnsi="宋体" w:cs="宋体"/>
          <w:szCs w:val="24"/>
          <w:highlight w:val="none"/>
        </w:rPr>
        <w:t>对岗位人员进行纪律考勤，如遇接班人员未到岗，应及时上报管理部门，并继续执勤至接班人员到岗，不得出现空岗。</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（三）岗位纪律：遵守国家法律及公安内部纪律、规定，以及岗位规章制度。</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（四）工作期间，服从领导、听从指挥，不得无故脱岗，严禁从事与工作无关的活动。因病、因事请假，应提前向所在管理部门领导请假。</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（五）工作相关的其他纪律规定。</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 w:val="24"/>
          <w:szCs w:val="24"/>
          <w:highlight w:val="none"/>
        </w:rPr>
      </w:pPr>
      <w:r>
        <w:rPr>
          <w:rFonts w:hint="eastAsia" w:ascii="宋体" w:hAnsi="宋体" w:cs="宋体"/>
          <w:b/>
          <w:sz w:val="24"/>
          <w:szCs w:val="24"/>
          <w:highlight w:val="none"/>
          <w:lang w:eastAsia="zh-CN"/>
        </w:rPr>
        <w:t>监督考核</w:t>
      </w:r>
      <w:r>
        <w:rPr>
          <w:rFonts w:hint="eastAsia" w:ascii="宋体" w:hAnsi="宋体" w:cs="宋体"/>
          <w:b/>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（一）为保障服务质量，提高工作效率，维持良好的内部秩序和外部形象，</w:t>
      </w:r>
      <w:r>
        <w:rPr>
          <w:rFonts w:hint="eastAsia" w:ascii="宋体" w:hAnsi="宋体" w:cs="宋体"/>
          <w:sz w:val="24"/>
          <w:szCs w:val="24"/>
          <w:highlight w:val="none"/>
          <w:lang w:val="en-US" w:eastAsia="zh-CN"/>
        </w:rPr>
        <w:t>甲方</w:t>
      </w:r>
      <w:r>
        <w:rPr>
          <w:rFonts w:hint="eastAsia" w:ascii="宋体" w:hAnsi="宋体" w:cs="宋体"/>
          <w:sz w:val="24"/>
          <w:szCs w:val="24"/>
          <w:highlight w:val="none"/>
        </w:rPr>
        <w:t>成立监督考核小组，由</w:t>
      </w:r>
      <w:r>
        <w:rPr>
          <w:rFonts w:hint="eastAsia" w:ascii="宋体" w:hAnsi="宋体" w:cs="宋体"/>
          <w:sz w:val="24"/>
          <w:szCs w:val="24"/>
          <w:highlight w:val="none"/>
          <w:lang w:val="en-US" w:eastAsia="zh-CN"/>
        </w:rPr>
        <w:t>甲方</w:t>
      </w:r>
      <w:r>
        <w:rPr>
          <w:rFonts w:hint="eastAsia" w:ascii="宋体" w:hAnsi="宋体" w:cs="宋体"/>
          <w:sz w:val="24"/>
          <w:szCs w:val="24"/>
          <w:highlight w:val="none"/>
        </w:rPr>
        <w:t>每季度对</w:t>
      </w:r>
      <w:r>
        <w:rPr>
          <w:rFonts w:hint="eastAsia" w:ascii="宋体" w:hAnsi="宋体" w:cs="宋体"/>
          <w:sz w:val="24"/>
          <w:szCs w:val="24"/>
          <w:highlight w:val="none"/>
          <w:lang w:val="en-US" w:eastAsia="zh-CN"/>
        </w:rPr>
        <w:t>乙方</w:t>
      </w:r>
      <w:r>
        <w:rPr>
          <w:rFonts w:hint="eastAsia" w:ascii="宋体" w:hAnsi="宋体" w:cs="宋体"/>
          <w:sz w:val="24"/>
          <w:szCs w:val="24"/>
          <w:highlight w:val="none"/>
        </w:rPr>
        <w:t>服务质量进行考核评分，评分内容包括：岗位配备（20分），人员配备质量（50 分），服务态度（10分），服务管理（20 分）</w:t>
      </w:r>
      <w:r>
        <w:rPr>
          <w:rFonts w:hint="eastAsia" w:ascii="宋体" w:hAnsi="宋体" w:cs="宋体"/>
          <w:sz w:val="24"/>
          <w:szCs w:val="24"/>
          <w:highlight w:val="none"/>
          <w:lang w:eastAsia="zh-CN"/>
        </w:rPr>
        <w:t>，服务期内，</w:t>
      </w:r>
      <w:r>
        <w:rPr>
          <w:rFonts w:hint="eastAsia" w:ascii="宋体" w:hAnsi="宋体" w:cs="宋体"/>
          <w:sz w:val="24"/>
          <w:szCs w:val="24"/>
          <w:highlight w:val="none"/>
          <w:lang w:val="en-US" w:eastAsia="zh-CN"/>
        </w:rPr>
        <w:t>甲方</w:t>
      </w:r>
      <w:r>
        <w:rPr>
          <w:rFonts w:hint="eastAsia" w:ascii="宋体" w:hAnsi="宋体" w:cs="宋体"/>
          <w:sz w:val="24"/>
          <w:szCs w:val="24"/>
          <w:highlight w:val="none"/>
          <w:lang w:eastAsia="zh-CN"/>
        </w:rPr>
        <w:t>有权根据实际情况对本考核办法进行修改与补充</w:t>
      </w:r>
      <w:r>
        <w:rPr>
          <w:rFonts w:hint="eastAsia" w:ascii="宋体" w:hAnsi="宋体" w:cs="宋体"/>
          <w:sz w:val="24"/>
          <w:szCs w:val="24"/>
          <w:highlight w:val="none"/>
        </w:rPr>
        <w:t>。</w:t>
      </w:r>
    </w:p>
    <w:p>
      <w:pPr>
        <w:pStyle w:val="104"/>
        <w:widowControl w:val="0"/>
        <w:numPr>
          <w:ilvl w:val="0"/>
          <w:numId w:val="0"/>
        </w:numPr>
        <w:tabs>
          <w:tab w:val="left" w:pos="510"/>
        </w:tabs>
        <w:spacing w:line="360" w:lineRule="auto"/>
        <w:ind w:firstLine="480" w:firstLineChars="200"/>
        <w:jc w:val="both"/>
        <w:rPr>
          <w:rFonts w:hint="eastAsia" w:ascii="宋体" w:hAnsi="宋体" w:eastAsia="宋体" w:cs="宋体"/>
          <w:b/>
          <w:szCs w:val="24"/>
          <w:highlight w:val="none"/>
        </w:rPr>
      </w:pPr>
      <w:r>
        <w:rPr>
          <w:rFonts w:hint="eastAsia" w:ascii="宋体" w:hAnsi="宋体" w:cs="宋体"/>
          <w:sz w:val="24"/>
          <w:szCs w:val="24"/>
          <w:highlight w:val="none"/>
        </w:rPr>
        <w:t>（二）考核评分结果分为四档，分值保留整数。其中A满意（90分及以上）、B良好（80分-89分）、C合格（60分-80分）、D不合格（59分及以下），A档支付100%服务费、B档支付90%服务费、C档支付80%服务费、D档支付70%服务费，同时</w:t>
      </w:r>
      <w:r>
        <w:rPr>
          <w:rFonts w:hint="eastAsia" w:ascii="宋体" w:hAnsi="宋体" w:cs="宋体"/>
          <w:sz w:val="24"/>
          <w:szCs w:val="24"/>
          <w:highlight w:val="none"/>
          <w:lang w:val="en-US" w:eastAsia="zh-CN"/>
        </w:rPr>
        <w:t>乙方</w:t>
      </w:r>
      <w:r>
        <w:rPr>
          <w:rFonts w:hint="eastAsia" w:ascii="宋体" w:hAnsi="宋体" w:cs="宋体"/>
          <w:sz w:val="24"/>
          <w:szCs w:val="24"/>
          <w:highlight w:val="none"/>
        </w:rPr>
        <w:t>须立即进行服务全面整改提升。</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cs="宋体"/>
          <w:b/>
          <w:szCs w:val="24"/>
          <w:highlight w:val="none"/>
          <w:lang w:eastAsia="zh-CN"/>
        </w:rPr>
        <w:t>服务质量考核标准（季考核评分表）</w:t>
      </w:r>
    </w:p>
    <w:tbl>
      <w:tblPr>
        <w:tblStyle w:val="44"/>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2"/>
        <w:gridCol w:w="4616"/>
        <w:gridCol w:w="947"/>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评分内容</w:t>
            </w:r>
          </w:p>
        </w:tc>
        <w:tc>
          <w:tcPr>
            <w:tcW w:w="992" w:type="dxa"/>
          </w:tcPr>
          <w:p>
            <w:pPr>
              <w:spacing w:line="560" w:lineRule="exact"/>
              <w:jc w:val="center"/>
              <w:rPr>
                <w:rFonts w:ascii="宋体" w:hAnsi="宋体" w:cs="宋体"/>
                <w:szCs w:val="24"/>
              </w:rPr>
            </w:pPr>
            <w:r>
              <w:rPr>
                <w:rFonts w:hint="eastAsia" w:ascii="宋体" w:hAnsi="宋体" w:cs="宋体"/>
                <w:szCs w:val="24"/>
              </w:rPr>
              <w:t>序号</w:t>
            </w:r>
          </w:p>
        </w:tc>
        <w:tc>
          <w:tcPr>
            <w:tcW w:w="4616" w:type="dxa"/>
          </w:tcPr>
          <w:p>
            <w:pPr>
              <w:spacing w:line="560" w:lineRule="exact"/>
              <w:jc w:val="center"/>
              <w:rPr>
                <w:rFonts w:ascii="宋体" w:hAnsi="宋体" w:cs="宋体"/>
                <w:szCs w:val="24"/>
              </w:rPr>
            </w:pPr>
            <w:r>
              <w:rPr>
                <w:rFonts w:hint="eastAsia" w:ascii="宋体" w:hAnsi="宋体" w:cs="宋体"/>
                <w:szCs w:val="24"/>
              </w:rPr>
              <w:t>评分内容</w:t>
            </w:r>
          </w:p>
        </w:tc>
        <w:tc>
          <w:tcPr>
            <w:tcW w:w="947" w:type="dxa"/>
          </w:tcPr>
          <w:p>
            <w:pPr>
              <w:spacing w:line="560" w:lineRule="exact"/>
              <w:jc w:val="center"/>
              <w:rPr>
                <w:rFonts w:ascii="宋体" w:hAnsi="宋体" w:cs="宋体"/>
                <w:szCs w:val="24"/>
              </w:rPr>
            </w:pPr>
            <w:r>
              <w:rPr>
                <w:rFonts w:hint="eastAsia" w:ascii="宋体" w:hAnsi="宋体" w:cs="宋体"/>
                <w:szCs w:val="24"/>
              </w:rPr>
              <w:t>分值</w:t>
            </w:r>
          </w:p>
        </w:tc>
        <w:tc>
          <w:tcPr>
            <w:tcW w:w="837" w:type="dxa"/>
          </w:tcPr>
          <w:p>
            <w:pPr>
              <w:spacing w:line="560" w:lineRule="exact"/>
              <w:jc w:val="center"/>
              <w:rPr>
                <w:rFonts w:ascii="宋体" w:hAnsi="宋体" w:cs="宋体"/>
                <w:szCs w:val="24"/>
              </w:rPr>
            </w:pPr>
            <w:r>
              <w:rPr>
                <w:rFonts w:hint="eastAsia" w:ascii="宋体" w:hAnsi="宋体" w:cs="宋体"/>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岗位配备</w:t>
            </w:r>
          </w:p>
        </w:tc>
        <w:tc>
          <w:tcPr>
            <w:tcW w:w="992" w:type="dxa"/>
          </w:tcPr>
          <w:p>
            <w:pPr>
              <w:spacing w:line="560" w:lineRule="exact"/>
              <w:jc w:val="center"/>
              <w:rPr>
                <w:rFonts w:ascii="宋体" w:hAnsi="宋体" w:cs="宋体"/>
                <w:szCs w:val="24"/>
              </w:rPr>
            </w:pPr>
            <w:r>
              <w:rPr>
                <w:rFonts w:hint="eastAsia" w:ascii="宋体" w:hAnsi="宋体" w:cs="宋体"/>
                <w:szCs w:val="24"/>
              </w:rPr>
              <w:t>1</w:t>
            </w:r>
          </w:p>
        </w:tc>
        <w:tc>
          <w:tcPr>
            <w:tcW w:w="4616" w:type="dxa"/>
          </w:tcPr>
          <w:p>
            <w:pPr>
              <w:spacing w:line="420" w:lineRule="exact"/>
              <w:jc w:val="left"/>
              <w:rPr>
                <w:rFonts w:ascii="宋体" w:hAnsi="宋体" w:cs="宋体"/>
                <w:szCs w:val="24"/>
              </w:rPr>
            </w:pPr>
            <w:r>
              <w:rPr>
                <w:rFonts w:hint="eastAsia" w:ascii="宋体" w:hAnsi="宋体" w:cs="宋体"/>
                <w:szCs w:val="24"/>
              </w:rPr>
              <w:t>岗位配备充足、及时，能够根据要求迅速调配人力。</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tcPr>
          <w:p>
            <w:pPr>
              <w:spacing w:line="560" w:lineRule="exact"/>
              <w:jc w:val="center"/>
              <w:rPr>
                <w:rFonts w:ascii="宋体" w:hAnsi="宋体" w:cs="宋体"/>
                <w:szCs w:val="24"/>
              </w:rPr>
            </w:pPr>
            <w:r>
              <w:rPr>
                <w:rFonts w:hint="eastAsia" w:ascii="宋体" w:hAnsi="宋体" w:cs="宋体"/>
                <w:szCs w:val="24"/>
              </w:rPr>
              <w:t>2</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配备岗位人员稳定，离职、更换频率低。</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人员配备质量</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3</w:t>
            </w:r>
          </w:p>
        </w:tc>
        <w:tc>
          <w:tcPr>
            <w:tcW w:w="4616" w:type="dxa"/>
          </w:tcPr>
          <w:p>
            <w:pPr>
              <w:spacing w:line="420" w:lineRule="exact"/>
              <w:jc w:val="left"/>
              <w:rPr>
                <w:rFonts w:ascii="宋体" w:hAnsi="宋体" w:cs="宋体"/>
                <w:szCs w:val="24"/>
              </w:rPr>
            </w:pPr>
            <w:r>
              <w:rPr>
                <w:rFonts w:hint="eastAsia" w:ascii="宋体" w:hAnsi="宋体" w:cs="宋体"/>
                <w:szCs w:val="24"/>
              </w:rPr>
              <w:t>配备人员业务能力强，业务考核均能达标，能够胜任岗位工作要求。</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4</w:t>
            </w:r>
          </w:p>
        </w:tc>
        <w:tc>
          <w:tcPr>
            <w:tcW w:w="4616" w:type="dxa"/>
          </w:tcPr>
          <w:p>
            <w:pPr>
              <w:spacing w:line="420" w:lineRule="exact"/>
              <w:jc w:val="left"/>
              <w:rPr>
                <w:rFonts w:ascii="宋体" w:hAnsi="宋体" w:cs="宋体"/>
                <w:szCs w:val="24"/>
              </w:rPr>
            </w:pPr>
            <w:r>
              <w:rPr>
                <w:rFonts w:hint="eastAsia" w:ascii="宋体" w:hAnsi="宋体" w:cs="宋体"/>
                <w:szCs w:val="24"/>
              </w:rPr>
              <w:t>配备人员保密意识强，能够遵守保密协议。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5</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配备岗位人员责任心强，工作任务完成好，无差错漏现象。</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6</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配备岗位人员能够服从管理，执行力强。</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7</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配备岗位人员遵纪守法，无不良嗜好。</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Align w:val="center"/>
          </w:tcPr>
          <w:p>
            <w:pPr>
              <w:spacing w:line="560" w:lineRule="exact"/>
              <w:jc w:val="center"/>
              <w:rPr>
                <w:rFonts w:ascii="宋体" w:hAnsi="宋体" w:cs="宋体"/>
                <w:szCs w:val="24"/>
              </w:rPr>
            </w:pPr>
            <w:r>
              <w:rPr>
                <w:rFonts w:hint="eastAsia" w:ascii="宋体" w:hAnsi="宋体" w:cs="宋体"/>
                <w:szCs w:val="24"/>
              </w:rPr>
              <w:t>服务态度</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8</w:t>
            </w:r>
          </w:p>
        </w:tc>
        <w:tc>
          <w:tcPr>
            <w:tcW w:w="4616" w:type="dxa"/>
          </w:tcPr>
          <w:p>
            <w:pPr>
              <w:spacing w:line="420" w:lineRule="exact"/>
              <w:jc w:val="left"/>
              <w:rPr>
                <w:rFonts w:ascii="宋体" w:hAnsi="宋体" w:cs="宋体"/>
                <w:szCs w:val="24"/>
              </w:rPr>
            </w:pPr>
            <w:r>
              <w:rPr>
                <w:rFonts w:hint="eastAsia" w:ascii="宋体" w:hAnsi="宋体" w:cs="宋体"/>
                <w:szCs w:val="24"/>
              </w:rPr>
              <w:t>岗位人员服务态度好，合作意识强，能够配合团队开展工作</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服务管理</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9</w:t>
            </w:r>
          </w:p>
        </w:tc>
        <w:tc>
          <w:tcPr>
            <w:tcW w:w="4616" w:type="dxa"/>
          </w:tcPr>
          <w:p>
            <w:pPr>
              <w:spacing w:line="420" w:lineRule="exact"/>
              <w:jc w:val="left"/>
              <w:rPr>
                <w:rFonts w:ascii="宋体" w:hAnsi="宋体" w:cs="宋体"/>
                <w:szCs w:val="24"/>
              </w:rPr>
            </w:pPr>
            <w:r>
              <w:rPr>
                <w:rFonts w:hint="eastAsia" w:ascii="宋体" w:hAnsi="宋体" w:cs="宋体"/>
                <w:szCs w:val="24"/>
              </w:rPr>
              <w:t>依法按照投标方案要求为岗位人员签订劳动合同、购买社保，薪资发放及时准确。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vMerge w:val="continue"/>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4616" w:type="dxa"/>
          </w:tcPr>
          <w:p>
            <w:pPr>
              <w:spacing w:line="420" w:lineRule="exact"/>
              <w:jc w:val="left"/>
              <w:rPr>
                <w:rFonts w:ascii="宋体" w:hAnsi="宋体" w:cs="宋体"/>
                <w:szCs w:val="24"/>
              </w:rPr>
            </w:pPr>
            <w:r>
              <w:rPr>
                <w:rFonts w:hint="eastAsia" w:ascii="宋体" w:hAnsi="宋体" w:cs="宋体"/>
                <w:szCs w:val="24"/>
              </w:rPr>
              <w:t>处理突发事件（如离职、劳资纠纷等）及时规范合发合理有效。</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合计</w:t>
            </w:r>
          </w:p>
        </w:tc>
        <w:tc>
          <w:tcPr>
            <w:tcW w:w="5608" w:type="dxa"/>
            <w:gridSpan w:val="2"/>
            <w:vAlign w:val="center"/>
          </w:tcPr>
          <w:p>
            <w:pPr>
              <w:spacing w:line="560" w:lineRule="exact"/>
              <w:jc w:val="center"/>
              <w:rPr>
                <w:rFonts w:ascii="宋体" w:hAnsi="宋体" w:cs="宋体"/>
                <w:szCs w:val="24"/>
              </w:rPr>
            </w:pPr>
          </w:p>
        </w:tc>
        <w:tc>
          <w:tcPr>
            <w:tcW w:w="947" w:type="dxa"/>
          </w:tcPr>
          <w:p>
            <w:pPr>
              <w:spacing w:line="560" w:lineRule="exact"/>
              <w:jc w:val="center"/>
              <w:rPr>
                <w:rFonts w:ascii="宋体" w:hAnsi="宋体" w:cs="宋体"/>
                <w:szCs w:val="24"/>
              </w:rPr>
            </w:pPr>
            <w:r>
              <w:rPr>
                <w:rFonts w:hint="eastAsia" w:ascii="宋体" w:hAnsi="宋体" w:cs="宋体"/>
                <w:szCs w:val="24"/>
              </w:rPr>
              <w:t>100</w:t>
            </w:r>
          </w:p>
        </w:tc>
        <w:tc>
          <w:tcPr>
            <w:tcW w:w="837" w:type="dxa"/>
          </w:tcPr>
          <w:p>
            <w:pPr>
              <w:spacing w:line="560" w:lineRule="exact"/>
              <w:jc w:val="center"/>
              <w:rPr>
                <w:rFonts w:ascii="宋体" w:hAnsi="宋体" w:cs="宋体"/>
                <w:szCs w:val="24"/>
              </w:rPr>
            </w:pPr>
          </w:p>
        </w:tc>
      </w:tr>
    </w:tbl>
    <w:p>
      <w:pPr>
        <w:pStyle w:val="16"/>
        <w:rPr>
          <w:rFonts w:hint="eastAsia"/>
        </w:rPr>
      </w:pP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争端的解决</w:t>
      </w:r>
      <w:bookmarkEnd w:id="120"/>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合同执行过程中发生的任何争议，如双方不能通过友好协商解决，甲、乙双方一致同意向甲方所在地人民法院提起诉讼。</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bookmarkStart w:id="121" w:name="_Toc435540768"/>
      <w:r>
        <w:rPr>
          <w:rFonts w:hint="eastAsia" w:ascii="宋体" w:hAnsi="宋体" w:eastAsia="宋体" w:cs="宋体"/>
          <w:b/>
          <w:szCs w:val="24"/>
          <w:highlight w:val="none"/>
        </w:rPr>
        <w:t>不可抗力</w:t>
      </w:r>
      <w:bookmarkEnd w:id="121"/>
    </w:p>
    <w:p>
      <w:pPr>
        <w:autoSpaceDE w:val="0"/>
        <w:autoSpaceDN w:val="0"/>
        <w:adjustRightInd w:val="0"/>
        <w:spacing w:line="360" w:lineRule="auto"/>
        <w:ind w:left="-22" w:leftChars="-9" w:firstLine="480" w:firstLineChars="200"/>
        <w:jc w:val="left"/>
        <w:outlineLvl w:val="2"/>
        <w:rPr>
          <w:rFonts w:hint="eastAsia" w:ascii="宋体" w:hAnsi="宋体" w:eastAsia="宋体" w:cs="宋体"/>
          <w:szCs w:val="24"/>
          <w:highlight w:val="none"/>
        </w:rPr>
      </w:pPr>
      <w:bookmarkStart w:id="122" w:name="_Toc435540769"/>
      <w:r>
        <w:rPr>
          <w:rFonts w:hint="eastAsia" w:ascii="宋体" w:hAnsi="宋体" w:eastAsia="宋体" w:cs="宋体"/>
          <w:szCs w:val="24"/>
          <w:highlight w:val="none"/>
        </w:rPr>
        <w:t>由于地震、台风、水灾、战争、以及其它不能预见并且对其发生和后果不能防止或避免的不可抗力事故，致使直接影响本合同的履行或者不能按约定的条件履行时，遇有上述不可抗力事故的一方，应在不可抗力事故发生后立即将事故情况电传通知对方，并应在15天内提供事故详情及合同不能履行，或者部分不能履行，或者需要延期履行的理由的有效证明文件。此项证明文件应由事故发生地区的公证机构出具。按照事故对履行合同的影响程度，由合同各方协商决定是否解除合同，或者部分免除履行合同的责任，或者延期履行合同。</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税费</w:t>
      </w:r>
      <w:bookmarkEnd w:id="122"/>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中国政府根据现行税法所征收的一切税费均由各缴税责任方独立承担。在中国境外发生的与本合同相关的一切税费及不可预见费均由乙方负担。</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bookmarkStart w:id="123" w:name="_Toc435540770"/>
      <w:r>
        <w:rPr>
          <w:rFonts w:hint="eastAsia" w:ascii="宋体" w:hAnsi="宋体" w:eastAsia="宋体" w:cs="宋体"/>
          <w:b/>
          <w:szCs w:val="24"/>
          <w:highlight w:val="none"/>
        </w:rPr>
        <w:t>其它</w:t>
      </w:r>
      <w:bookmarkEnd w:id="123"/>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1、本项目合同由下列文件组成，均为本合同不可分割的部分，下列文件的优先解释顺序如下：1）本合同执行期间甲、乙双方签署确认的文件（包括会议纪要、补充协议、往来信函及修正文件）；2）本采购合同；3）乙方针对本项目的各项制度和规定（包括在本合同签订后的各类新出台的制度和规定）；4）中标（成交）通知书；5）竞争性磋商文件及答疑补遗文件（含竞争性磋商文件澄清或修正内容、答疑会议纪要等）；6）响应文件及其相关承诺附件（含投标文件澄清）；7）标准、规范及有关技术文件；8）组成合同的其他文件。</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注：如乙方在《响应文件》及其相关承诺附件中作出有比竞争性磋商文件及答疑补遗文件和本合同更有利于甲方的响应（该是否有利于甲方的解释权双方同意最终归甲方所有），则乙方投标文件及其相关承诺附件中更有利于甲方的相关条款内容的解释顺序优于竞争性磋商文件及答疑补遗文件和本合同，乙方须按这些响应承诺履行。</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2、所有经双方签署确认的文件（包括会议纪要、补充协议、变更协议等）、招标文件、投标文件和响应承诺文件、合同附件及《中标通知书》均为本合同不可分割的有效组成部分，与本合同具有同等的法律效力和履约义务，其缔约生效日期为有效签署或盖章确认之日期。</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3、乙方在合同服务期内，自费办理派驻到项目所在地人员人身和自备财产的有关保险，保险时间应随服务时间的延长而顺延，并在出险后自行办理索赔。如果乙方不办理上述保险，则应对有关风险及后果自负其责。</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4、</w:t>
      </w:r>
      <w:r>
        <w:rPr>
          <w:rFonts w:hint="eastAsia" w:ascii="宋体" w:hAnsi="宋体" w:eastAsia="宋体" w:cs="宋体"/>
          <w:highlight w:val="none"/>
        </w:rPr>
        <w:t>乙方向甲方提出诉求不能成立时，乙方应当补偿由于该诉求所导致甲方的各种费用支出，包含但不限于差旅费、诉讼费、保全费、律师费及其他因此产生的费用。</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5、未经对方的书面同意，无论甲方或乙方均不得转让本合同约定的权利和义务。</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6、各方都应保护对签署和履行本合同而取得的所有任何有关对方的非公开资料，任何一方均有义务限制其员工、代理人等仅在为适当履行本合同义务所必须且承诺严守保密义务时方可获得和使用上述资料。因一方未尽到此项义务而使另一方受到损失的，应赔偿另一方因此受到的损失。本合同终止后，双方仍负有上述保密义务。</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7、各方应保证向对方提供的资料和数据不侵犯第三方的知识产权或其他权利，因一方提供的资料虚假、错误、或侵犯第三方权利而造成误工、赔偿等损失（包括律师费）的，应当给予充分有效的赔偿。</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8、本合同未尽事宜，合同各方另行商定，必要时签定补充合同协议。补充协议经合同各方签字盖章后作为本合同补充文件。</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9、甲、乙双方法定代表人或授权代表在合同协议书签字，并分别加盖各单位的公章，并经见证单位见证后合同生效。</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10、本合同壹式</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份，甲方执</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份，乙方执</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w:t>
      </w:r>
    </w:p>
    <w:p>
      <w:pPr>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（以下无正文）</w:t>
      </w:r>
    </w:p>
    <w:p>
      <w:pPr>
        <w:spacing w:line="360" w:lineRule="auto"/>
        <w:rPr>
          <w:rFonts w:hint="eastAsia" w:ascii="宋体" w:hAnsi="宋体" w:eastAsia="宋体" w:cs="宋体"/>
          <w:color w:val="000000"/>
          <w:highlight w:val="none"/>
        </w:rPr>
      </w:pPr>
    </w:p>
    <w:p>
      <w:pPr>
        <w:pStyle w:val="47"/>
        <w:spacing w:line="360" w:lineRule="auto"/>
        <w:rPr>
          <w:rFonts w:hint="eastAsia" w:ascii="宋体" w:hAnsi="宋体" w:eastAsia="宋体" w:cs="宋体"/>
          <w:color w:val="000000"/>
          <w:highlight w:val="none"/>
        </w:rPr>
      </w:pPr>
    </w:p>
    <w:p>
      <w:pPr>
        <w:pStyle w:val="47"/>
        <w:spacing w:line="360" w:lineRule="auto"/>
        <w:rPr>
          <w:rFonts w:hint="eastAsia" w:ascii="宋体" w:hAnsi="宋体" w:eastAsia="宋体" w:cs="宋体"/>
          <w:color w:val="000000"/>
          <w:highlight w:val="none"/>
        </w:rPr>
      </w:pPr>
    </w:p>
    <w:tbl>
      <w:tblPr>
        <w:tblStyle w:val="44"/>
        <w:tblW w:w="9514" w:type="dxa"/>
        <w:tblInd w:w="0" w:type="dxa"/>
        <w:tblLayout w:type="fixed"/>
        <w:tblCellMar>
          <w:top w:w="0" w:type="dxa"/>
          <w:left w:w="108" w:type="dxa"/>
          <w:bottom w:w="0" w:type="dxa"/>
          <w:right w:w="108" w:type="dxa"/>
        </w:tblCellMar>
      </w:tblPr>
      <w:tblGrid>
        <w:gridCol w:w="4757"/>
        <w:gridCol w:w="4757"/>
      </w:tblGrid>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b/>
                <w:color w:val="000000"/>
                <w:highlight w:val="none"/>
              </w:rPr>
              <w:t>甲方（盖章）：</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b/>
                <w:color w:val="000000"/>
                <w:highlight w:val="none"/>
              </w:rPr>
              <w:t>乙方（盖章）：</w:t>
            </w:r>
          </w:p>
        </w:tc>
      </w:tr>
      <w:tr>
        <w:tblPrEx>
          <w:tblLayout w:type="fixed"/>
          <w:tblCellMar>
            <w:top w:w="0" w:type="dxa"/>
            <w:left w:w="108" w:type="dxa"/>
            <w:bottom w:w="0" w:type="dxa"/>
            <w:right w:w="108" w:type="dxa"/>
          </w:tblCellMar>
        </w:tblPrEx>
        <w:trPr>
          <w:trHeight w:val="1042" w:hRule="atLeast"/>
        </w:trPr>
        <w:tc>
          <w:tcPr>
            <w:tcW w:w="4757" w:type="dxa"/>
            <w:tcBorders>
              <w:right w:val="dashSmallGap" w:color="auto" w:sz="4" w:space="0"/>
            </w:tcBorders>
          </w:tcPr>
          <w:p>
            <w:pPr>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法人代表或授权代理人：</w:t>
            </w:r>
            <w:r>
              <w:rPr>
                <w:rFonts w:hint="eastAsia" w:ascii="宋体" w:hAnsi="宋体" w:eastAsia="宋体" w:cs="宋体"/>
                <w:color w:val="000000"/>
                <w:highlight w:val="none"/>
                <w:u w:val="single"/>
              </w:rPr>
              <w:t xml:space="preserve">                             </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法人代表或授权代理人：</w:t>
            </w:r>
            <w:r>
              <w:rPr>
                <w:rFonts w:hint="eastAsia" w:ascii="宋体" w:hAnsi="宋体" w:eastAsia="宋体" w:cs="宋体"/>
                <w:color w:val="000000"/>
                <w:highlight w:val="none"/>
                <w:u w:val="single"/>
              </w:rPr>
              <w:t xml:space="preserve">                             </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地址：</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地址：</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电话：</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电话：</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传真：</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传真：</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日期：        年     月    日</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日期：        年     月    日</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开户名称：</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银行帐号：</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开 户 行：</w:t>
            </w:r>
          </w:p>
        </w:tc>
      </w:tr>
    </w:tbl>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3"/>
        <w:spacing w:line="360" w:lineRule="auto"/>
        <w:jc w:val="center"/>
        <w:rPr>
          <w:rFonts w:hint="eastAsia" w:ascii="宋体" w:hAnsi="宋体" w:eastAsia="宋体" w:cs="宋体"/>
          <w:sz w:val="24"/>
          <w:szCs w:val="24"/>
          <w:highlight w:val="none"/>
        </w:rPr>
      </w:pPr>
      <w:bookmarkStart w:id="124" w:name="_Toc19026"/>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48"/>
          <w:szCs w:val="48"/>
          <w:highlight w:val="none"/>
        </w:rPr>
      </w:pPr>
      <w:bookmarkStart w:id="125" w:name="_Toc26883"/>
      <w:r>
        <w:rPr>
          <w:rFonts w:hint="eastAsia" w:ascii="宋体" w:hAnsi="宋体" w:eastAsia="宋体" w:cs="宋体"/>
          <w:sz w:val="48"/>
          <w:szCs w:val="48"/>
          <w:highlight w:val="none"/>
        </w:rPr>
        <w:t>第五部分  响应文件格式</w:t>
      </w:r>
      <w:bookmarkEnd w:id="124"/>
      <w:bookmarkEnd w:id="125"/>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响应文件封面格式参考（</w:t>
      </w:r>
      <w:r>
        <w:rPr>
          <w:rFonts w:hint="eastAsia" w:ascii="宋体" w:hAnsi="宋体" w:eastAsia="宋体" w:cs="宋体"/>
          <w:szCs w:val="24"/>
          <w:highlight w:val="none"/>
        </w:rPr>
        <w:t>供应商可自行设计编制响应文件的封面，封面上须包含但不限于以下内容，并在名称处加盖公章，及注明“正本”或“副本”字样）</w:t>
      </w:r>
      <w:r>
        <w:rPr>
          <w:rFonts w:hint="eastAsia" w:ascii="宋体" w:hAnsi="宋体" w:eastAsia="宋体" w:cs="宋体"/>
          <w:b/>
          <w:szCs w:val="24"/>
          <w:highlight w:val="none"/>
        </w:rPr>
        <w:t>：</w:t>
      </w:r>
    </w:p>
    <w:p>
      <w:pPr>
        <w:spacing w:line="360" w:lineRule="auto"/>
        <w:jc w:val="center"/>
        <w:outlineLvl w:val="0"/>
        <w:rPr>
          <w:rFonts w:hint="eastAsia" w:ascii="宋体" w:hAnsi="宋体" w:eastAsia="宋体" w:cs="宋体"/>
          <w:b/>
          <w:sz w:val="72"/>
          <w:szCs w:val="72"/>
          <w:highlight w:val="none"/>
        </w:rPr>
      </w:pPr>
      <w:bookmarkStart w:id="126" w:name="_Toc13106"/>
      <w:r>
        <w:rPr>
          <w:rFonts w:hint="eastAsia" w:ascii="宋体" w:hAnsi="宋体" w:eastAsia="宋体" w:cs="宋体"/>
          <w:b/>
          <w:sz w:val="72"/>
          <w:szCs w:val="72"/>
          <w:highlight w:val="none"/>
        </w:rPr>
        <w:t>佛山市公安局</w:t>
      </w:r>
      <w:bookmarkEnd w:id="126"/>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jc w:val="center"/>
        <w:outlineLvl w:val="0"/>
        <w:rPr>
          <w:rFonts w:hint="eastAsia" w:ascii="宋体" w:hAnsi="宋体" w:eastAsia="宋体" w:cs="宋体"/>
          <w:b/>
          <w:sz w:val="56"/>
          <w:szCs w:val="56"/>
          <w:highlight w:val="none"/>
        </w:rPr>
      </w:pPr>
      <w:bookmarkStart w:id="127" w:name="_Toc26854"/>
      <w:bookmarkStart w:id="128" w:name="_Toc30348"/>
      <w:r>
        <w:rPr>
          <w:rFonts w:hint="eastAsia" w:ascii="宋体" w:hAnsi="宋体" w:eastAsia="宋体" w:cs="宋体"/>
          <w:b/>
          <w:sz w:val="56"/>
          <w:szCs w:val="56"/>
          <w:highlight w:val="none"/>
        </w:rPr>
        <w:t>响 应 文 件</w:t>
      </w:r>
      <w:bookmarkEnd w:id="127"/>
      <w:bookmarkEnd w:id="128"/>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jc w:val="center"/>
        <w:outlineLvl w:val="0"/>
        <w:rPr>
          <w:rFonts w:hint="eastAsia" w:ascii="宋体" w:hAnsi="宋体" w:eastAsia="宋体" w:cs="宋体"/>
          <w:b/>
          <w:sz w:val="44"/>
          <w:szCs w:val="44"/>
          <w:highlight w:val="none"/>
        </w:rPr>
      </w:pPr>
      <w:bookmarkStart w:id="129" w:name="_Toc31747"/>
      <w:bookmarkStart w:id="130" w:name="_Toc15543"/>
      <w:r>
        <w:rPr>
          <w:rFonts w:hint="eastAsia" w:ascii="宋体" w:hAnsi="宋体" w:eastAsia="宋体" w:cs="宋体"/>
          <w:b/>
          <w:sz w:val="44"/>
          <w:szCs w:val="44"/>
          <w:highlight w:val="none"/>
        </w:rPr>
        <w:t>（正本/副本）</w:t>
      </w:r>
      <w:bookmarkEnd w:id="129"/>
      <w:bookmarkEnd w:id="130"/>
    </w:p>
    <w:p>
      <w:pPr>
        <w:spacing w:line="360" w:lineRule="auto"/>
        <w:rPr>
          <w:rFonts w:hint="eastAsia" w:ascii="宋体" w:hAnsi="宋体" w:eastAsia="宋体" w:cs="宋体"/>
          <w:b/>
          <w:bCs/>
          <w:szCs w:val="24"/>
          <w:highlight w:val="none"/>
        </w:rPr>
      </w:pPr>
    </w:p>
    <w:p>
      <w:pPr>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spacing w:line="360" w:lineRule="auto"/>
        <w:jc w:val="center"/>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采购项目编号：</w:t>
      </w:r>
      <w:r>
        <w:rPr>
          <w:rFonts w:hint="eastAsia" w:ascii="宋体" w:hAnsi="宋体" w:cs="宋体"/>
          <w:b/>
          <w:bCs/>
          <w:szCs w:val="24"/>
          <w:highlight w:val="none"/>
          <w:lang w:eastAsia="zh-CN"/>
        </w:rPr>
        <w:t>fsganb20211204</w:t>
      </w:r>
    </w:p>
    <w:p>
      <w:pPr>
        <w:spacing w:line="360" w:lineRule="auto"/>
        <w:jc w:val="center"/>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采购项目名称：</w:t>
      </w:r>
      <w:r>
        <w:rPr>
          <w:rFonts w:hint="eastAsia" w:ascii="宋体" w:hAnsi="宋体" w:cs="宋体"/>
          <w:b/>
          <w:szCs w:val="24"/>
          <w:highlight w:val="none"/>
          <w:lang w:eastAsia="zh-CN"/>
        </w:rPr>
        <w:t>佛山市公安局森林分局2022年购买警务辅助服务项目（第二次）</w:t>
      </w:r>
    </w:p>
    <w:p>
      <w:pPr>
        <w:spacing w:line="360" w:lineRule="auto"/>
        <w:jc w:val="center"/>
        <w:rPr>
          <w:rFonts w:hint="eastAsia" w:ascii="宋体" w:hAnsi="宋体" w:eastAsia="宋体" w:cs="宋体"/>
          <w:szCs w:val="24"/>
          <w:highlight w:val="none"/>
        </w:rPr>
      </w:pPr>
    </w:p>
    <w:p>
      <w:pPr>
        <w:spacing w:line="360" w:lineRule="auto"/>
        <w:rPr>
          <w:rFonts w:hint="eastAsia" w:ascii="宋体" w:hAnsi="宋体" w:eastAsia="宋体" w:cs="宋体"/>
          <w:sz w:val="22"/>
          <w:highlight w:val="none"/>
        </w:rPr>
      </w:pPr>
    </w:p>
    <w:p>
      <w:pPr>
        <w:pStyle w:val="46"/>
        <w:spacing w:line="360" w:lineRule="auto"/>
        <w:rPr>
          <w:rFonts w:hint="eastAsia" w:ascii="宋体" w:hAnsi="宋体" w:eastAsia="宋体" w:cs="宋体"/>
          <w:highlight w:val="none"/>
        </w:rPr>
      </w:pPr>
    </w:p>
    <w:p>
      <w:pPr>
        <w:spacing w:line="360" w:lineRule="auto"/>
        <w:rPr>
          <w:rFonts w:hint="eastAsia" w:ascii="宋体" w:hAnsi="宋体" w:eastAsia="宋体" w:cs="宋体"/>
          <w:szCs w:val="24"/>
          <w:highlight w:val="none"/>
        </w:rPr>
      </w:pPr>
    </w:p>
    <w:p>
      <w:pPr>
        <w:pStyle w:val="46"/>
        <w:spacing w:line="360" w:lineRule="auto"/>
        <w:rPr>
          <w:rFonts w:hint="eastAsia" w:ascii="宋体" w:hAnsi="宋体" w:eastAsia="宋体" w:cs="宋体"/>
          <w:sz w:val="22"/>
          <w:szCs w:val="20"/>
          <w:highlight w:val="none"/>
        </w:rPr>
      </w:pP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供应商名称：</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日  期：    年    月    日</w:t>
      </w:r>
      <w:r>
        <w:rPr>
          <w:rFonts w:hint="eastAsia" w:ascii="宋体" w:hAnsi="宋体" w:eastAsia="宋体" w:cs="宋体"/>
          <w:b/>
          <w:szCs w:val="24"/>
          <w:highlight w:val="none"/>
        </w:rPr>
        <w:br w:type="page"/>
      </w:r>
      <w:r>
        <w:rPr>
          <w:rFonts w:hint="eastAsia" w:ascii="宋体" w:hAnsi="宋体" w:eastAsia="宋体" w:cs="宋体"/>
          <w:b/>
          <w:szCs w:val="24"/>
          <w:highlight w:val="none"/>
        </w:rPr>
        <w:t>响应文件目录</w:t>
      </w:r>
    </w:p>
    <w:p>
      <w:pPr>
        <w:tabs>
          <w:tab w:val="left" w:pos="540"/>
        </w:tabs>
        <w:snapToGrid w:val="0"/>
        <w:spacing w:line="360" w:lineRule="auto"/>
        <w:rPr>
          <w:rFonts w:hint="eastAsia" w:ascii="宋体" w:hAnsi="宋体" w:eastAsia="宋体" w:cs="宋体"/>
          <w:b/>
          <w:szCs w:val="24"/>
          <w:highlight w:val="none"/>
          <w:lang w:val="en-GB"/>
        </w:rPr>
      </w:pPr>
    </w:p>
    <w:p>
      <w:pPr>
        <w:tabs>
          <w:tab w:val="left" w:pos="540"/>
        </w:tabs>
        <w:snapToGrid w:val="0"/>
        <w:spacing w:line="360" w:lineRule="auto"/>
        <w:ind w:left="482" w:hanging="482" w:hangingChars="200"/>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注：响应文件必须编制目录（目录格式不限，由供应商自行编制），且目录必须清晰、准确，与响应文件中的每页所加注的页码相对应。供应商须按响应文件格式内容进行排版，如属于格式外的内容，供应商可根据其内容自行排版。</w:t>
      </w:r>
    </w:p>
    <w:p>
      <w:pPr>
        <w:tabs>
          <w:tab w:val="left" w:pos="720"/>
        </w:tabs>
        <w:spacing w:line="360" w:lineRule="auto"/>
        <w:rPr>
          <w:rFonts w:hint="eastAsia" w:ascii="宋体" w:hAnsi="宋体" w:eastAsia="宋体" w:cs="宋体"/>
          <w:b/>
          <w:szCs w:val="24"/>
          <w:highlight w:val="none"/>
        </w:rPr>
      </w:pPr>
    </w:p>
    <w:p>
      <w:pPr>
        <w:tabs>
          <w:tab w:val="left" w:pos="720"/>
        </w:tabs>
        <w:spacing w:line="360" w:lineRule="auto"/>
        <w:rPr>
          <w:rFonts w:hint="eastAsia" w:ascii="宋体" w:hAnsi="宋体" w:eastAsia="宋体" w:cs="宋体"/>
          <w:b/>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8"/>
          <w:szCs w:val="48"/>
          <w:highlight w:val="none"/>
        </w:rPr>
      </w:pPr>
      <w:bookmarkStart w:id="131" w:name="_Toc13344"/>
      <w:r>
        <w:rPr>
          <w:rFonts w:hint="eastAsia" w:ascii="宋体" w:hAnsi="宋体" w:eastAsia="宋体" w:cs="宋体"/>
          <w:sz w:val="48"/>
          <w:szCs w:val="48"/>
          <w:highlight w:val="none"/>
        </w:rPr>
        <w:t>第一章  自查表</w:t>
      </w:r>
      <w:bookmarkEnd w:id="131"/>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5"/>
        <w:spacing w:line="360" w:lineRule="auto"/>
        <w:jc w:val="center"/>
        <w:rPr>
          <w:rFonts w:hint="eastAsia" w:ascii="宋体" w:hAnsi="宋体" w:eastAsia="宋体" w:cs="宋体"/>
          <w:szCs w:val="24"/>
          <w:highlight w:val="none"/>
        </w:rPr>
      </w:pPr>
      <w:r>
        <w:rPr>
          <w:rFonts w:hint="eastAsia" w:ascii="宋体" w:hAnsi="宋体" w:eastAsia="宋体" w:cs="宋体"/>
          <w:sz w:val="28"/>
          <w:szCs w:val="28"/>
          <w:highlight w:val="none"/>
        </w:rPr>
        <w:t>1.1 供应商磋商资格符合性自查表</w:t>
      </w:r>
    </w:p>
    <w:tbl>
      <w:tblPr>
        <w:tblStyle w:val="44"/>
        <w:tblW w:w="9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15"/>
        <w:gridCol w:w="4910"/>
        <w:gridCol w:w="944"/>
        <w:gridCol w:w="109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43" w:type="dxa"/>
            <w:gridSpan w:val="3"/>
            <w:vMerge w:val="restart"/>
            <w:shd w:val="clear" w:color="auto" w:fill="A4A4A4"/>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bCs/>
                <w:szCs w:val="24"/>
                <w:highlight w:val="none"/>
              </w:rPr>
              <w:t>采购文件要求</w:t>
            </w:r>
          </w:p>
        </w:tc>
        <w:tc>
          <w:tcPr>
            <w:tcW w:w="2040" w:type="dxa"/>
            <w:gridSpan w:val="2"/>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自查结论</w:t>
            </w:r>
          </w:p>
        </w:tc>
        <w:tc>
          <w:tcPr>
            <w:tcW w:w="1723" w:type="dxa"/>
            <w:vMerge w:val="restart"/>
            <w:shd w:val="clear" w:color="auto" w:fill="A4A4A4"/>
            <w:vAlign w:val="center"/>
          </w:tcPr>
          <w:p>
            <w:pPr>
              <w:spacing w:line="360" w:lineRule="auto"/>
              <w:ind w:right="10" w:rightChars="4"/>
              <w:jc w:val="center"/>
              <w:rPr>
                <w:rFonts w:hint="eastAsia" w:ascii="宋体" w:hAnsi="宋体" w:eastAsia="宋体" w:cs="宋体"/>
                <w:b/>
                <w:bCs/>
                <w:szCs w:val="24"/>
                <w:highlight w:val="none"/>
              </w:rPr>
            </w:pPr>
            <w:r>
              <w:rPr>
                <w:rFonts w:hint="eastAsia" w:ascii="宋体" w:hAnsi="宋体" w:eastAsia="宋体" w:cs="宋体"/>
                <w:b/>
                <w:bCs/>
                <w:szCs w:val="24"/>
                <w:highlight w:val="none"/>
              </w:rPr>
              <w:t>证明资料</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所在页码</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w:t>
            </w:r>
            <w:r>
              <w:rPr>
                <w:rFonts w:hint="eastAsia" w:ascii="宋体" w:hAnsi="宋体" w:eastAsia="宋体" w:cs="宋体"/>
                <w:b/>
                <w:szCs w:val="24"/>
                <w:highlight w:val="none"/>
              </w:rPr>
              <w:t>见响应文件</w:t>
            </w:r>
            <w:r>
              <w:rPr>
                <w:rFonts w:hint="eastAsia" w:ascii="宋体" w:hAnsi="宋体" w:eastAsia="宋体" w:cs="宋体"/>
                <w:b/>
                <w:bCs/>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43" w:type="dxa"/>
            <w:gridSpan w:val="3"/>
            <w:vMerge w:val="continue"/>
            <w:shd w:val="clear" w:color="auto" w:fill="auto"/>
            <w:vAlign w:val="center"/>
          </w:tcPr>
          <w:p>
            <w:pPr>
              <w:spacing w:line="360" w:lineRule="auto"/>
              <w:jc w:val="center"/>
              <w:rPr>
                <w:rFonts w:hint="eastAsia" w:ascii="宋体" w:hAnsi="宋体" w:eastAsia="宋体" w:cs="宋体"/>
                <w:b/>
                <w:bCs/>
                <w:szCs w:val="24"/>
                <w:highlight w:val="none"/>
              </w:rPr>
            </w:pPr>
          </w:p>
        </w:tc>
        <w:tc>
          <w:tcPr>
            <w:tcW w:w="944" w:type="dxa"/>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通过</w:t>
            </w:r>
          </w:p>
        </w:tc>
        <w:tc>
          <w:tcPr>
            <w:tcW w:w="1096" w:type="dxa"/>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不通过</w:t>
            </w:r>
          </w:p>
        </w:tc>
        <w:tc>
          <w:tcPr>
            <w:tcW w:w="1723" w:type="dxa"/>
            <w:vMerge w:val="continue"/>
            <w:vAlign w:val="center"/>
          </w:tcPr>
          <w:p>
            <w:pPr>
              <w:spacing w:line="360" w:lineRule="auto"/>
              <w:ind w:right="10" w:rightChars="4"/>
              <w:jc w:val="center"/>
              <w:rPr>
                <w:rFonts w:hint="eastAsia" w:ascii="宋体" w:hAnsi="宋体" w:eastAsia="宋体" w:cs="宋体"/>
                <w:b/>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资格性</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审查</w:t>
            </w: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lang w:val="hr-HR"/>
              </w:rPr>
              <w:t>具备《政府采购法》第二十二条规定的条件</w:t>
            </w:r>
            <w:r>
              <w:rPr>
                <w:rFonts w:hint="eastAsia" w:ascii="宋体" w:hAnsi="宋体" w:eastAsia="宋体" w:cs="宋体"/>
                <w:szCs w:val="24"/>
                <w:highlight w:val="none"/>
              </w:rPr>
              <w:t>；</w:t>
            </w:r>
          </w:p>
        </w:tc>
        <w:tc>
          <w:tcPr>
            <w:tcW w:w="944"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096"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r>
              <w:rPr>
                <w:rFonts w:hint="eastAsia" w:ascii="宋体" w:hAnsi="宋体" w:eastAsia="宋体" w:cs="宋体"/>
                <w:szCs w:val="24"/>
                <w:highlight w:val="none"/>
              </w:rPr>
              <w:t>；</w:t>
            </w:r>
          </w:p>
        </w:tc>
        <w:tc>
          <w:tcPr>
            <w:tcW w:w="944"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096"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供应商未被列入“信用中国”网站“记录失信被执行人或重大税收违法案件当事人名单或政府采购严重违法失信行为”记录名单；未处于中国政府采购网“政府采购严重违法失信行为信息记录”中的禁止参加政府采购活动期间。（如相关失信记录已失效，供应商需提供相关证明资料）；</w:t>
            </w:r>
          </w:p>
        </w:tc>
        <w:tc>
          <w:tcPr>
            <w:tcW w:w="944" w:type="dxa"/>
            <w:vAlign w:val="center"/>
          </w:tcPr>
          <w:p>
            <w:pPr>
              <w:spacing w:line="360" w:lineRule="auto"/>
              <w:jc w:val="center"/>
              <w:rPr>
                <w:rFonts w:hint="eastAsia" w:ascii="宋体" w:hAnsi="宋体" w:eastAsia="宋体" w:cs="宋体"/>
                <w:b/>
                <w:szCs w:val="24"/>
                <w:highlight w:val="none"/>
              </w:rPr>
            </w:pPr>
          </w:p>
        </w:tc>
        <w:tc>
          <w:tcPr>
            <w:tcW w:w="1096" w:type="dxa"/>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为采购项目提供整体设计、规范编制或者项目管理、监理、检测等服务的供应商，不得再参加该采购项目/包组的其他采购活动。</w:t>
            </w:r>
          </w:p>
        </w:tc>
        <w:tc>
          <w:tcPr>
            <w:tcW w:w="944" w:type="dxa"/>
            <w:vAlign w:val="center"/>
          </w:tcPr>
          <w:p>
            <w:pPr>
              <w:spacing w:line="360" w:lineRule="auto"/>
              <w:jc w:val="center"/>
              <w:rPr>
                <w:rFonts w:hint="eastAsia" w:ascii="宋体" w:hAnsi="宋体" w:eastAsia="宋体" w:cs="宋体"/>
                <w:b/>
                <w:szCs w:val="24"/>
                <w:highlight w:val="none"/>
              </w:rPr>
            </w:pPr>
          </w:p>
        </w:tc>
        <w:tc>
          <w:tcPr>
            <w:tcW w:w="1096" w:type="dxa"/>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c>
          <w:tcPr>
            <w:tcW w:w="944" w:type="dxa"/>
            <w:vAlign w:val="center"/>
          </w:tcPr>
          <w:p>
            <w:pPr>
              <w:spacing w:line="360" w:lineRule="auto"/>
              <w:jc w:val="center"/>
              <w:rPr>
                <w:rFonts w:hint="eastAsia" w:ascii="宋体" w:hAnsi="宋体" w:eastAsia="宋体" w:cs="宋体"/>
                <w:b/>
                <w:szCs w:val="24"/>
                <w:highlight w:val="none"/>
              </w:rPr>
            </w:pPr>
          </w:p>
        </w:tc>
        <w:tc>
          <w:tcPr>
            <w:tcW w:w="1096" w:type="dxa"/>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符合性</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审查</w:t>
            </w: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按照磋商文件规定要求签署、盖章且投标文件有法定代表人签字或盖章（或签字人有法定代表人有效授权书）的；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磋商承诺函已提交并符合竞争性磋商文件要求的；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报价不高于采购预算/控制总额；</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18" w:type="dxa"/>
            <w:vMerge w:val="continue"/>
            <w:vAlign w:val="center"/>
          </w:tcPr>
          <w:p>
            <w:pPr>
              <w:spacing w:line="360" w:lineRule="auto"/>
              <w:rPr>
                <w:rFonts w:hint="eastAsia" w:ascii="宋体" w:hAnsi="宋体" w:eastAsia="宋体" w:cs="宋体"/>
                <w:szCs w:val="24"/>
                <w:highlight w:val="none"/>
              </w:rPr>
            </w:pPr>
          </w:p>
        </w:tc>
        <w:tc>
          <w:tcPr>
            <w:tcW w:w="515" w:type="dxa"/>
            <w:vAlign w:val="center"/>
          </w:tcPr>
          <w:p>
            <w:pPr>
              <w:spacing w:line="360" w:lineRule="auto"/>
              <w:ind w:left="72" w:leftChars="30" w:right="50" w:rightChars="21"/>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响应文件没有竞争性磋商文件中规定的其它无效磋商条款的；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hint="eastAsia" w:ascii="宋体" w:hAnsi="宋体" w:eastAsia="宋体" w:cs="宋体"/>
                <w:szCs w:val="24"/>
                <w:highlight w:val="none"/>
              </w:rPr>
            </w:pPr>
          </w:p>
        </w:tc>
        <w:tc>
          <w:tcPr>
            <w:tcW w:w="515" w:type="dxa"/>
            <w:vAlign w:val="center"/>
          </w:tcPr>
          <w:p>
            <w:pPr>
              <w:spacing w:line="360" w:lineRule="auto"/>
              <w:ind w:left="72" w:leftChars="30" w:right="50" w:rightChars="21"/>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按有关法律、法规、规章不属于磋商无效的。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bl>
    <w:p>
      <w:pPr>
        <w:spacing w:line="360" w:lineRule="auto"/>
        <w:rPr>
          <w:rFonts w:hint="eastAsia" w:ascii="宋体" w:hAnsi="宋体" w:eastAsia="宋体" w:cs="宋体"/>
          <w:b/>
          <w:szCs w:val="24"/>
          <w:highlight w:val="none"/>
          <w:u w:val="double"/>
        </w:rPr>
      </w:pPr>
    </w:p>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注：</w:t>
      </w:r>
    </w:p>
    <w:p>
      <w:pPr>
        <w:spacing w:line="360" w:lineRule="auto"/>
        <w:ind w:left="480" w:hanging="480" w:hangingChars="200"/>
        <w:rPr>
          <w:rFonts w:hint="eastAsia" w:ascii="宋体" w:hAnsi="宋体" w:eastAsia="宋体" w:cs="宋体"/>
          <w:szCs w:val="24"/>
          <w:highlight w:val="none"/>
        </w:rPr>
      </w:pPr>
      <w:r>
        <w:rPr>
          <w:rFonts w:hint="eastAsia" w:ascii="宋体" w:hAnsi="宋体" w:eastAsia="宋体" w:cs="宋体"/>
          <w:szCs w:val="24"/>
          <w:highlight w:val="none"/>
        </w:rPr>
        <w:t>1.  以上材料将作为供应商资格性、符合性审查内容的重要组成部分，供应商必须严格按照其内容要求在响应文件中如实提供，并在</w:t>
      </w:r>
      <w:r>
        <w:rPr>
          <w:rFonts w:hint="eastAsia" w:ascii="宋体" w:hAnsi="宋体" w:eastAsia="宋体" w:cs="宋体"/>
          <w:b/>
          <w:szCs w:val="24"/>
          <w:highlight w:val="none"/>
        </w:rPr>
        <w:t>“自查结论”</w:t>
      </w:r>
      <w:r>
        <w:rPr>
          <w:rFonts w:hint="eastAsia" w:ascii="宋体" w:hAnsi="宋体" w:eastAsia="宋体" w:cs="宋体"/>
          <w:szCs w:val="24"/>
          <w:highlight w:val="none"/>
        </w:rPr>
        <w:t>栏的对应选项的“□”处打“√”。</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2.  本表所填写内容若不属实或存在偏差，不属于无效磋商条件，实际以供应商提供的材料为准。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3.  本表由供应商如实填写，以供磋商小组参考，否则可能影响供应商的得分。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5"/>
        <w:spacing w:after="120"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 评审内容索引表</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技术部分</w:t>
      </w:r>
    </w:p>
    <w:tbl>
      <w:tblPr>
        <w:tblStyle w:val="44"/>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评审内容及子项</w:t>
            </w:r>
          </w:p>
        </w:tc>
        <w:tc>
          <w:tcPr>
            <w:tcW w:w="820" w:type="dxa"/>
            <w:shd w:val="clear" w:color="auto" w:fill="A4A4A4"/>
            <w:vAlign w:val="center"/>
          </w:tcPr>
          <w:p>
            <w:pPr>
              <w:pStyle w:val="87"/>
              <w:snapToGrid w:val="0"/>
              <w:spacing w:line="360" w:lineRule="auto"/>
              <w:ind w:left="-91" w:leftChars="-57" w:right="-12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满分值</w:t>
            </w:r>
          </w:p>
        </w:tc>
        <w:tc>
          <w:tcPr>
            <w:tcW w:w="851" w:type="dxa"/>
            <w:shd w:val="clear" w:color="auto" w:fill="A4A4A4"/>
            <w:vAlign w:val="center"/>
          </w:tcPr>
          <w:p>
            <w:pPr>
              <w:pStyle w:val="87"/>
              <w:snapToGrid w:val="0"/>
              <w:spacing w:line="360" w:lineRule="auto"/>
              <w:ind w:left="0" w:leftChars="0"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自评分</w:t>
            </w:r>
          </w:p>
          <w:p>
            <w:pPr>
              <w:pStyle w:val="13"/>
              <w:snapToGrid w:val="0"/>
              <w:spacing w:line="360" w:lineRule="auto"/>
              <w:ind w:left="-94" w:leftChars="-39" w:right="-101" w:rightChars="-42"/>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（仅供参考）</w:t>
            </w:r>
          </w:p>
        </w:tc>
        <w:tc>
          <w:tcPr>
            <w:tcW w:w="1276" w:type="dxa"/>
            <w:shd w:val="clear" w:color="auto" w:fill="A4A4A4"/>
            <w:vAlign w:val="center"/>
          </w:tcPr>
          <w:p>
            <w:pPr>
              <w:pStyle w:val="87"/>
              <w:snapToGrid w:val="0"/>
              <w:spacing w:line="360" w:lineRule="auto"/>
              <w:ind w:left="-79" w:leftChars="-33"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技术部分总分合计</w:t>
            </w: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r>
    </w:tbl>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商务部分</w:t>
      </w:r>
    </w:p>
    <w:tbl>
      <w:tblPr>
        <w:tblStyle w:val="44"/>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评审内容及子项</w:t>
            </w:r>
          </w:p>
        </w:tc>
        <w:tc>
          <w:tcPr>
            <w:tcW w:w="820" w:type="dxa"/>
            <w:shd w:val="clear" w:color="auto" w:fill="A4A4A4"/>
            <w:vAlign w:val="center"/>
          </w:tcPr>
          <w:p>
            <w:pPr>
              <w:pStyle w:val="87"/>
              <w:snapToGrid w:val="0"/>
              <w:spacing w:line="360" w:lineRule="auto"/>
              <w:ind w:left="-91" w:leftChars="-57" w:right="-12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满分值</w:t>
            </w:r>
          </w:p>
        </w:tc>
        <w:tc>
          <w:tcPr>
            <w:tcW w:w="851" w:type="dxa"/>
            <w:shd w:val="clear" w:color="auto" w:fill="A4A4A4"/>
            <w:vAlign w:val="center"/>
          </w:tcPr>
          <w:p>
            <w:pPr>
              <w:pStyle w:val="87"/>
              <w:snapToGrid w:val="0"/>
              <w:spacing w:line="360" w:lineRule="auto"/>
              <w:ind w:left="0" w:leftChars="0"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自评分</w:t>
            </w:r>
          </w:p>
          <w:p>
            <w:pPr>
              <w:pStyle w:val="13"/>
              <w:snapToGrid w:val="0"/>
              <w:spacing w:line="360" w:lineRule="auto"/>
              <w:ind w:left="-94" w:leftChars="-39" w:right="-101" w:rightChars="-42"/>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（仅供参考）</w:t>
            </w:r>
          </w:p>
        </w:tc>
        <w:tc>
          <w:tcPr>
            <w:tcW w:w="1276" w:type="dxa"/>
            <w:shd w:val="clear" w:color="auto" w:fill="A4A4A4"/>
            <w:vAlign w:val="center"/>
          </w:tcPr>
          <w:p>
            <w:pPr>
              <w:pStyle w:val="87"/>
              <w:snapToGrid w:val="0"/>
              <w:spacing w:line="360" w:lineRule="auto"/>
              <w:ind w:left="-79" w:leftChars="-33"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商务部分总分合计</w:t>
            </w: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本表所填写内容若不属实</w:t>
      </w:r>
      <w:r>
        <w:rPr>
          <w:rFonts w:hint="eastAsia" w:ascii="宋体" w:hAnsi="宋体" w:eastAsia="宋体" w:cs="宋体"/>
          <w:szCs w:val="24"/>
          <w:highlight w:val="none"/>
        </w:rPr>
        <w:t>或存在偏差</w:t>
      </w:r>
      <w:r>
        <w:rPr>
          <w:rFonts w:hint="eastAsia" w:ascii="宋体" w:hAnsi="宋体" w:eastAsia="宋体" w:cs="宋体"/>
          <w:szCs w:val="24"/>
          <w:highlight w:val="none"/>
          <w:lang w:val="en-GB"/>
        </w:rPr>
        <w:t>，不属于无效磋商条件，实际以供应商提供的材料为准。</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本表由供应商如实填写，以供磋商小组参考，否则可能影响供应商的得分。</w:t>
      </w:r>
    </w:p>
    <w:p>
      <w:pPr>
        <w:spacing w:line="360" w:lineRule="auto"/>
        <w:rPr>
          <w:rFonts w:hint="eastAsia" w:ascii="宋体" w:hAnsi="宋体" w:eastAsia="宋体" w:cs="宋体"/>
          <w:sz w:val="21"/>
          <w:szCs w:val="21"/>
          <w:highlight w:val="none"/>
          <w:lang w:eastAsia="zh-CN"/>
        </w:rPr>
      </w:pPr>
      <w:r>
        <w:rPr>
          <w:rFonts w:hint="eastAsia" w:ascii="宋体" w:hAnsi="宋体" w:cs="宋体"/>
          <w:b/>
          <w:bCs/>
          <w:sz w:val="21"/>
          <w:szCs w:val="21"/>
          <w:highlight w:val="none"/>
        </w:rPr>
        <w:t>实质性条款（“</w:t>
      </w:r>
      <w:r>
        <w:rPr>
          <w:rFonts w:hint="eastAsia"/>
          <w:sz w:val="28"/>
          <w:szCs w:val="28"/>
          <w:highlight w:val="none"/>
        </w:rPr>
        <w:t>★</w:t>
      </w:r>
      <w:r>
        <w:rPr>
          <w:rFonts w:hint="eastAsia" w:ascii="宋体" w:hAnsi="宋体" w:cs="宋体"/>
          <w:b/>
          <w:bCs/>
          <w:sz w:val="21"/>
          <w:szCs w:val="21"/>
          <w:highlight w:val="none"/>
        </w:rPr>
        <w:t>”项）响应表</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如有</w:t>
      </w:r>
      <w:r>
        <w:rPr>
          <w:rFonts w:hint="eastAsia" w:ascii="宋体" w:hAnsi="宋体" w:cs="宋体"/>
          <w:b/>
          <w:bCs/>
          <w:sz w:val="21"/>
          <w:szCs w:val="21"/>
          <w:highlight w:val="none"/>
          <w:lang w:eastAsia="zh-CN"/>
        </w:rPr>
        <w:t>）</w:t>
      </w:r>
    </w:p>
    <w:tbl>
      <w:tblPr>
        <w:tblStyle w:val="44"/>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27"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序号</w:t>
            </w:r>
          </w:p>
        </w:tc>
        <w:tc>
          <w:tcPr>
            <w:tcW w:w="3062"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实质性响应条款要求</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是否响应</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资料所在页码</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bl>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 </w:t>
      </w:r>
    </w:p>
    <w:p>
      <w:pPr>
        <w:pStyle w:val="30"/>
        <w:spacing w:line="360" w:lineRule="auto"/>
        <w:rPr>
          <w:rFonts w:hint="eastAsia" w:cs="宋体"/>
          <w:color w:val="auto"/>
          <w:sz w:val="21"/>
          <w:szCs w:val="21"/>
          <w:highlight w:val="none"/>
        </w:rPr>
      </w:pPr>
      <w:r>
        <w:rPr>
          <w:rFonts w:hint="eastAsia" w:cs="宋体"/>
          <w:color w:val="auto"/>
          <w:sz w:val="21"/>
          <w:szCs w:val="21"/>
          <w:highlight w:val="none"/>
        </w:rPr>
        <w:t>注：</w:t>
      </w:r>
    </w:p>
    <w:p>
      <w:pPr>
        <w:pStyle w:val="30"/>
        <w:spacing w:line="360" w:lineRule="auto"/>
        <w:rPr>
          <w:rFonts w:hint="eastAsia" w:cs="宋体"/>
          <w:color w:val="auto"/>
          <w:sz w:val="21"/>
          <w:szCs w:val="21"/>
          <w:highlight w:val="none"/>
        </w:rPr>
      </w:pPr>
      <w:r>
        <w:rPr>
          <w:rFonts w:hint="eastAsia" w:cs="宋体"/>
          <w:color w:val="auto"/>
          <w:sz w:val="21"/>
          <w:szCs w:val="21"/>
          <w:highlight w:val="none"/>
        </w:rPr>
        <w:t>1.对于上述要求，如投标人完全响应，则请在“是否响应”栏内打“√”，对空白或打“×”视为偏离，请在“偏离说明”栏内扼要说明偏离情况。</w:t>
      </w:r>
    </w:p>
    <w:p>
      <w:pPr>
        <w:pStyle w:val="30"/>
        <w:spacing w:line="360" w:lineRule="auto"/>
        <w:rPr>
          <w:rFonts w:hint="eastAsia" w:cs="宋体"/>
          <w:color w:val="auto"/>
          <w:sz w:val="21"/>
          <w:szCs w:val="21"/>
          <w:highlight w:val="none"/>
        </w:rPr>
      </w:pPr>
      <w:r>
        <w:rPr>
          <w:rFonts w:hint="eastAsia" w:cs="宋体"/>
          <w:color w:val="auto"/>
          <w:sz w:val="21"/>
          <w:szCs w:val="21"/>
          <w:highlight w:val="none"/>
        </w:rPr>
        <w:t>2.此表内容必须与采购项目要求的内容一致，打“</w:t>
      </w:r>
      <w:r>
        <w:rPr>
          <w:rFonts w:hint="eastAsia"/>
          <w:sz w:val="28"/>
          <w:szCs w:val="28"/>
          <w:highlight w:val="none"/>
        </w:rPr>
        <w:t>★</w:t>
      </w:r>
      <w:r>
        <w:rPr>
          <w:rFonts w:hint="eastAsia" w:cs="宋体"/>
          <w:color w:val="auto"/>
          <w:sz w:val="21"/>
          <w:szCs w:val="21"/>
          <w:highlight w:val="none"/>
        </w:rPr>
        <w:t>”项为不可负偏离(劣于)的重要项。</w:t>
      </w:r>
    </w:p>
    <w:p>
      <w:pPr>
        <w:pStyle w:val="30"/>
        <w:spacing w:line="360" w:lineRule="auto"/>
        <w:rPr>
          <w:rFonts w:hint="eastAsia" w:cs="宋体"/>
          <w:color w:val="auto"/>
          <w:sz w:val="21"/>
          <w:szCs w:val="21"/>
          <w:highlight w:val="none"/>
        </w:rPr>
      </w:pPr>
      <w:r>
        <w:rPr>
          <w:rFonts w:hint="eastAsia" w:cs="宋体"/>
          <w:color w:val="auto"/>
          <w:sz w:val="21"/>
          <w:szCs w:val="21"/>
          <w:highlight w:val="none"/>
        </w:rPr>
        <w:t>3.本表内容不得擅自修改。</w:t>
      </w:r>
    </w:p>
    <w:p>
      <w:pPr>
        <w:pStyle w:val="30"/>
        <w:spacing w:line="360" w:lineRule="auto"/>
        <w:rPr>
          <w:rFonts w:hint="eastAsia" w:cs="宋体"/>
          <w:color w:val="auto"/>
          <w:sz w:val="21"/>
          <w:szCs w:val="21"/>
          <w:highlight w:val="none"/>
        </w:rPr>
      </w:pPr>
      <w:r>
        <w:rPr>
          <w:rFonts w:hint="eastAsia" w:cs="宋体"/>
          <w:color w:val="auto"/>
          <w:sz w:val="21"/>
          <w:szCs w:val="21"/>
          <w:highlight w:val="none"/>
        </w:rPr>
        <w:t>4.当招标文件中未设置“</w:t>
      </w:r>
      <w:r>
        <w:rPr>
          <w:rFonts w:hint="eastAsia"/>
          <w:sz w:val="28"/>
          <w:szCs w:val="28"/>
          <w:highlight w:val="none"/>
        </w:rPr>
        <w:t>★</w:t>
      </w:r>
      <w:r>
        <w:rPr>
          <w:rFonts w:hint="eastAsia" w:cs="宋体"/>
          <w:color w:val="auto"/>
          <w:sz w:val="21"/>
          <w:szCs w:val="21"/>
          <w:highlight w:val="none"/>
        </w:rPr>
        <w:t>”项条款时，应在此表中直接填写：本项目未设置“</w:t>
      </w:r>
      <w:r>
        <w:rPr>
          <w:rFonts w:hint="eastAsia"/>
          <w:sz w:val="28"/>
          <w:szCs w:val="28"/>
          <w:highlight w:val="none"/>
        </w:rPr>
        <w:t>★</w:t>
      </w:r>
      <w:r>
        <w:rPr>
          <w:rFonts w:hint="eastAsia" w:cs="宋体"/>
          <w:color w:val="auto"/>
          <w:sz w:val="21"/>
          <w:szCs w:val="21"/>
          <w:highlight w:val="none"/>
        </w:rPr>
        <w:t>”项条款。</w:t>
      </w:r>
    </w:p>
    <w:p>
      <w:pPr>
        <w:pStyle w:val="30"/>
        <w:spacing w:line="360" w:lineRule="auto"/>
        <w:rPr>
          <w:rFonts w:hint="eastAsia" w:cs="宋体"/>
          <w:color w:val="auto"/>
          <w:sz w:val="21"/>
          <w:szCs w:val="21"/>
          <w:highlight w:val="none"/>
        </w:rPr>
      </w:pPr>
    </w:p>
    <w:p>
      <w:pPr>
        <w:pStyle w:val="30"/>
        <w:spacing w:line="360" w:lineRule="auto"/>
        <w:rPr>
          <w:rFonts w:hint="eastAsia" w:cs="宋体"/>
          <w:color w:val="auto"/>
          <w:sz w:val="21"/>
          <w:szCs w:val="21"/>
          <w:highlight w:val="none"/>
        </w:rPr>
      </w:pPr>
    </w:p>
    <w:p>
      <w:pPr>
        <w:pStyle w:val="30"/>
        <w:spacing w:line="360" w:lineRule="auto"/>
        <w:rPr>
          <w:rFonts w:hint="eastAsia" w:cs="宋体"/>
          <w:color w:val="auto"/>
          <w:sz w:val="21"/>
          <w:szCs w:val="21"/>
          <w:highlight w:val="none"/>
        </w:rPr>
      </w:pPr>
    </w:p>
    <w:p>
      <w:pPr>
        <w:tabs>
          <w:tab w:val="left" w:pos="-3780"/>
        </w:tabs>
        <w:spacing w:line="360" w:lineRule="auto"/>
        <w:rPr>
          <w:rFonts w:hint="eastAsia" w:ascii="宋体" w:hAnsi="宋体" w:cs="宋体"/>
          <w:sz w:val="21"/>
          <w:szCs w:val="21"/>
          <w:highlight w:val="none"/>
        </w:rPr>
      </w:pPr>
      <w:r>
        <w:rPr>
          <w:rFonts w:hint="eastAsia" w:ascii="宋体" w:hAnsi="宋体" w:cs="宋体"/>
          <w:sz w:val="21"/>
          <w:szCs w:val="21"/>
          <w:highlight w:val="none"/>
        </w:rPr>
        <w:t>供应商：</w:t>
      </w:r>
      <w:r>
        <w:rPr>
          <w:rFonts w:hint="eastAsia" w:ascii="宋体" w:hAnsi="宋体" w:cs="宋体"/>
          <w:sz w:val="21"/>
          <w:szCs w:val="21"/>
          <w:highlight w:val="none"/>
          <w:u w:val="single"/>
        </w:rPr>
        <w:t xml:space="preserve">         （公司名称）          </w:t>
      </w:r>
      <w:r>
        <w:rPr>
          <w:rFonts w:hint="eastAsia" w:ascii="宋体" w:hAnsi="宋体" w:cs="宋体"/>
          <w:sz w:val="21"/>
          <w:szCs w:val="21"/>
          <w:highlight w:val="none"/>
        </w:rPr>
        <w:t>（盖公章）</w:t>
      </w:r>
    </w:p>
    <w:p>
      <w:pPr>
        <w:tabs>
          <w:tab w:val="left" w:pos="-3780"/>
        </w:tabs>
        <w:spacing w:line="360" w:lineRule="auto"/>
        <w:rPr>
          <w:rFonts w:hint="eastAsia" w:ascii="宋体" w:hAnsi="宋体" w:cs="宋体"/>
          <w:sz w:val="21"/>
          <w:szCs w:val="21"/>
          <w:highlight w:val="none"/>
          <w:u w:val="single"/>
        </w:rPr>
      </w:pPr>
      <w:r>
        <w:rPr>
          <w:rFonts w:hint="eastAsia" w:ascii="宋体" w:hAnsi="宋体" w:cs="宋体"/>
          <w:sz w:val="21"/>
          <w:szCs w:val="21"/>
          <w:highlight w:val="none"/>
          <w:lang w:eastAsia="zh-CN"/>
        </w:rPr>
        <w:t>法定代表人</w:t>
      </w:r>
      <w:r>
        <w:rPr>
          <w:rFonts w:hint="eastAsia" w:ascii="宋体" w:hAnsi="宋体" w:cs="宋体"/>
          <w:sz w:val="21"/>
          <w:szCs w:val="21"/>
          <w:highlight w:val="none"/>
        </w:rPr>
        <w:t>（或全权代表）：</w:t>
      </w:r>
      <w:r>
        <w:rPr>
          <w:rFonts w:hint="eastAsia" w:ascii="宋体" w:hAnsi="宋体" w:cs="宋体"/>
          <w:sz w:val="21"/>
          <w:szCs w:val="21"/>
          <w:highlight w:val="none"/>
          <w:u w:val="single"/>
        </w:rPr>
        <w:t xml:space="preserve">    （签名或签章）  </w:t>
      </w:r>
    </w:p>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rPr>
        <w:t>日期：</w:t>
      </w:r>
      <w:r>
        <w:rPr>
          <w:rFonts w:hint="eastAsia" w:ascii="宋体" w:hAnsi="宋体" w:cs="宋体"/>
          <w:sz w:val="21"/>
          <w:szCs w:val="21"/>
          <w:highlight w:val="none"/>
          <w:u w:val="single"/>
        </w:rPr>
        <w:t xml:space="preserve">    </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r>
        <w:rPr>
          <w:rFonts w:hint="eastAsia" w:ascii="宋体" w:hAnsi="宋体" w:cs="宋体"/>
          <w:sz w:val="21"/>
          <w:szCs w:val="21"/>
          <w:highlight w:val="none"/>
        </w:rPr>
        <w:br w:type="page"/>
      </w:r>
      <w:r>
        <w:rPr>
          <w:rFonts w:hint="eastAsia" w:ascii="宋体" w:hAnsi="宋体" w:cs="宋体"/>
          <w:b/>
          <w:bCs/>
          <w:sz w:val="21"/>
          <w:szCs w:val="21"/>
          <w:highlight w:val="none"/>
        </w:rPr>
        <w:t>（“▲”项）响应表</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如有</w:t>
      </w:r>
      <w:r>
        <w:rPr>
          <w:rFonts w:hint="eastAsia" w:ascii="宋体" w:hAnsi="宋体" w:cs="宋体"/>
          <w:b/>
          <w:bCs/>
          <w:sz w:val="21"/>
          <w:szCs w:val="21"/>
          <w:highlight w:val="none"/>
          <w:lang w:eastAsia="zh-CN"/>
        </w:rPr>
        <w:t>）</w:t>
      </w:r>
    </w:p>
    <w:tbl>
      <w:tblPr>
        <w:tblStyle w:val="44"/>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27"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序号</w:t>
            </w:r>
          </w:p>
        </w:tc>
        <w:tc>
          <w:tcPr>
            <w:tcW w:w="3062"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响应条款要求</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是否响应</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资料所在页码</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bl>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 </w:t>
      </w:r>
    </w:p>
    <w:p>
      <w:pPr>
        <w:pStyle w:val="30"/>
        <w:spacing w:line="360" w:lineRule="auto"/>
        <w:rPr>
          <w:rFonts w:hint="eastAsia" w:cs="宋体"/>
          <w:color w:val="auto"/>
          <w:sz w:val="21"/>
          <w:szCs w:val="21"/>
          <w:highlight w:val="none"/>
        </w:rPr>
      </w:pPr>
      <w:r>
        <w:rPr>
          <w:rFonts w:hint="eastAsia" w:cs="宋体"/>
          <w:color w:val="auto"/>
          <w:sz w:val="21"/>
          <w:szCs w:val="21"/>
          <w:highlight w:val="none"/>
        </w:rPr>
        <w:t>注：</w:t>
      </w:r>
    </w:p>
    <w:p>
      <w:pPr>
        <w:pStyle w:val="30"/>
        <w:spacing w:line="360" w:lineRule="auto"/>
        <w:rPr>
          <w:rFonts w:hint="eastAsia" w:cs="宋体"/>
          <w:color w:val="auto"/>
          <w:sz w:val="21"/>
          <w:szCs w:val="21"/>
          <w:highlight w:val="none"/>
        </w:rPr>
      </w:pPr>
      <w:r>
        <w:rPr>
          <w:rFonts w:hint="eastAsia" w:cs="宋体"/>
          <w:color w:val="auto"/>
          <w:sz w:val="21"/>
          <w:szCs w:val="21"/>
          <w:highlight w:val="none"/>
        </w:rPr>
        <w:t>1.对于上述要求，如投标人完全响应，则请在“是否响应”栏内打“√”，对空白或打“×”视为偏离，请在“偏离说明”栏内扼要说明偏离情况。</w:t>
      </w:r>
    </w:p>
    <w:p>
      <w:pPr>
        <w:pStyle w:val="30"/>
        <w:spacing w:line="360" w:lineRule="auto"/>
        <w:rPr>
          <w:rFonts w:hint="eastAsia" w:cs="宋体"/>
          <w:color w:val="auto"/>
          <w:sz w:val="21"/>
          <w:szCs w:val="21"/>
          <w:highlight w:val="none"/>
        </w:rPr>
      </w:pPr>
      <w:r>
        <w:rPr>
          <w:rFonts w:hint="eastAsia" w:cs="宋体"/>
          <w:color w:val="auto"/>
          <w:sz w:val="21"/>
          <w:szCs w:val="21"/>
          <w:highlight w:val="none"/>
        </w:rPr>
        <w:t>2.此表内容必须与采购项目</w:t>
      </w:r>
      <w:r>
        <w:rPr>
          <w:rFonts w:hint="eastAsia" w:cs="宋体"/>
          <w:b/>
          <w:bCs/>
          <w:color w:val="auto"/>
          <w:sz w:val="21"/>
          <w:szCs w:val="21"/>
          <w:highlight w:val="none"/>
        </w:rPr>
        <w:t>“▲”</w:t>
      </w:r>
      <w:r>
        <w:rPr>
          <w:rFonts w:hint="eastAsia" w:cs="宋体"/>
          <w:color w:val="auto"/>
          <w:sz w:val="21"/>
          <w:szCs w:val="21"/>
          <w:highlight w:val="none"/>
        </w:rPr>
        <w:t>要求的内容一致。</w:t>
      </w:r>
    </w:p>
    <w:p>
      <w:pPr>
        <w:pStyle w:val="30"/>
        <w:spacing w:line="360" w:lineRule="auto"/>
        <w:rPr>
          <w:rFonts w:hint="eastAsia" w:cs="宋体"/>
          <w:color w:val="auto"/>
          <w:sz w:val="21"/>
          <w:szCs w:val="21"/>
          <w:highlight w:val="none"/>
        </w:rPr>
      </w:pPr>
      <w:r>
        <w:rPr>
          <w:rFonts w:hint="eastAsia" w:cs="宋体"/>
          <w:color w:val="auto"/>
          <w:sz w:val="21"/>
          <w:szCs w:val="21"/>
          <w:highlight w:val="none"/>
        </w:rPr>
        <w:t>3.本表内容不得擅自修改。</w:t>
      </w:r>
    </w:p>
    <w:p>
      <w:pPr>
        <w:pStyle w:val="30"/>
        <w:spacing w:line="360" w:lineRule="auto"/>
        <w:rPr>
          <w:rFonts w:hint="eastAsia" w:cs="宋体"/>
          <w:color w:val="auto"/>
          <w:sz w:val="21"/>
          <w:szCs w:val="21"/>
          <w:highlight w:val="none"/>
        </w:rPr>
      </w:pPr>
      <w:r>
        <w:rPr>
          <w:rFonts w:hint="eastAsia" w:cs="宋体"/>
          <w:color w:val="auto"/>
          <w:sz w:val="21"/>
          <w:szCs w:val="21"/>
          <w:highlight w:val="none"/>
        </w:rPr>
        <w:t>4.当招标文件中未设置“</w:t>
      </w:r>
      <w:r>
        <w:rPr>
          <w:rFonts w:hint="eastAsia" w:cs="宋体"/>
          <w:b/>
          <w:bCs/>
          <w:color w:val="auto"/>
          <w:sz w:val="21"/>
          <w:szCs w:val="21"/>
          <w:highlight w:val="none"/>
        </w:rPr>
        <w:t>▲</w:t>
      </w:r>
      <w:r>
        <w:rPr>
          <w:rFonts w:hint="eastAsia" w:cs="宋体"/>
          <w:color w:val="auto"/>
          <w:sz w:val="21"/>
          <w:szCs w:val="21"/>
          <w:highlight w:val="none"/>
        </w:rPr>
        <w:t>”项条款时，应在此表中直接填写：本项目未设置“</w:t>
      </w:r>
      <w:r>
        <w:rPr>
          <w:rFonts w:hint="eastAsia" w:cs="宋体"/>
          <w:b/>
          <w:bCs/>
          <w:color w:val="auto"/>
          <w:sz w:val="21"/>
          <w:szCs w:val="21"/>
          <w:highlight w:val="none"/>
        </w:rPr>
        <w:t>▲</w:t>
      </w:r>
      <w:r>
        <w:rPr>
          <w:rFonts w:hint="eastAsia" w:cs="宋体"/>
          <w:color w:val="auto"/>
          <w:sz w:val="21"/>
          <w:szCs w:val="21"/>
          <w:highlight w:val="none"/>
        </w:rPr>
        <w:t>”项条款。</w:t>
      </w:r>
    </w:p>
    <w:p>
      <w:pPr>
        <w:pStyle w:val="30"/>
        <w:spacing w:line="360" w:lineRule="auto"/>
        <w:rPr>
          <w:rFonts w:hint="eastAsia" w:cs="宋体"/>
          <w:color w:val="auto"/>
          <w:sz w:val="21"/>
          <w:szCs w:val="21"/>
          <w:highlight w:val="none"/>
        </w:rPr>
      </w:pPr>
    </w:p>
    <w:p>
      <w:pPr>
        <w:pStyle w:val="30"/>
        <w:spacing w:line="360" w:lineRule="auto"/>
        <w:rPr>
          <w:rFonts w:hint="eastAsia" w:cs="宋体"/>
          <w:color w:val="auto"/>
          <w:sz w:val="21"/>
          <w:szCs w:val="21"/>
          <w:highlight w:val="none"/>
        </w:rPr>
      </w:pPr>
    </w:p>
    <w:p>
      <w:pPr>
        <w:pStyle w:val="30"/>
        <w:spacing w:line="360" w:lineRule="auto"/>
        <w:rPr>
          <w:rFonts w:hint="eastAsia" w:cs="宋体"/>
          <w:color w:val="auto"/>
          <w:sz w:val="21"/>
          <w:szCs w:val="21"/>
          <w:highlight w:val="none"/>
        </w:rPr>
      </w:pPr>
    </w:p>
    <w:p>
      <w:pPr>
        <w:tabs>
          <w:tab w:val="left" w:pos="-3780"/>
        </w:tabs>
        <w:spacing w:line="360" w:lineRule="auto"/>
        <w:rPr>
          <w:rFonts w:hint="eastAsia" w:ascii="宋体" w:hAnsi="宋体" w:cs="宋体"/>
          <w:sz w:val="21"/>
          <w:szCs w:val="21"/>
          <w:highlight w:val="none"/>
        </w:rPr>
      </w:pPr>
      <w:r>
        <w:rPr>
          <w:rFonts w:hint="eastAsia" w:ascii="宋体" w:hAnsi="宋体" w:cs="宋体"/>
          <w:sz w:val="21"/>
          <w:szCs w:val="21"/>
          <w:highlight w:val="none"/>
        </w:rPr>
        <w:t>供应商：</w:t>
      </w:r>
      <w:r>
        <w:rPr>
          <w:rFonts w:hint="eastAsia" w:ascii="宋体" w:hAnsi="宋体" w:cs="宋体"/>
          <w:sz w:val="21"/>
          <w:szCs w:val="21"/>
          <w:highlight w:val="none"/>
          <w:u w:val="single"/>
        </w:rPr>
        <w:t xml:space="preserve">         （公司名称）          </w:t>
      </w:r>
      <w:r>
        <w:rPr>
          <w:rFonts w:hint="eastAsia" w:ascii="宋体" w:hAnsi="宋体" w:cs="宋体"/>
          <w:sz w:val="21"/>
          <w:szCs w:val="21"/>
          <w:highlight w:val="none"/>
        </w:rPr>
        <w:t>（盖公章）</w:t>
      </w:r>
    </w:p>
    <w:p>
      <w:pPr>
        <w:tabs>
          <w:tab w:val="left" w:pos="-3780"/>
        </w:tabs>
        <w:spacing w:line="360" w:lineRule="auto"/>
        <w:rPr>
          <w:rFonts w:hint="eastAsia" w:ascii="宋体" w:hAnsi="宋体" w:cs="宋体"/>
          <w:sz w:val="21"/>
          <w:szCs w:val="21"/>
          <w:highlight w:val="none"/>
          <w:u w:val="single"/>
        </w:rPr>
      </w:pPr>
      <w:r>
        <w:rPr>
          <w:rFonts w:hint="eastAsia" w:ascii="宋体" w:hAnsi="宋体" w:cs="宋体"/>
          <w:sz w:val="21"/>
          <w:szCs w:val="21"/>
          <w:highlight w:val="none"/>
          <w:lang w:eastAsia="zh-CN"/>
        </w:rPr>
        <w:t>法定代表人</w:t>
      </w:r>
      <w:r>
        <w:rPr>
          <w:rFonts w:hint="eastAsia" w:ascii="宋体" w:hAnsi="宋体" w:cs="宋体"/>
          <w:sz w:val="21"/>
          <w:szCs w:val="21"/>
          <w:highlight w:val="none"/>
        </w:rPr>
        <w:t>（或全权代表）：</w:t>
      </w:r>
      <w:r>
        <w:rPr>
          <w:rFonts w:hint="eastAsia" w:ascii="宋体" w:hAnsi="宋体" w:cs="宋体"/>
          <w:sz w:val="21"/>
          <w:szCs w:val="21"/>
          <w:highlight w:val="none"/>
          <w:u w:val="single"/>
        </w:rPr>
        <w:t xml:space="preserve">    （签名或签章）  </w:t>
      </w:r>
    </w:p>
    <w:p>
      <w:pPr>
        <w:spacing w:line="360" w:lineRule="auto"/>
        <w:rPr>
          <w:rFonts w:hint="eastAsia" w:ascii="宋体" w:hAnsi="宋体" w:cs="宋体"/>
          <w:highlight w:val="none"/>
        </w:rPr>
      </w:pPr>
      <w:r>
        <w:rPr>
          <w:rFonts w:hint="eastAsia" w:ascii="宋体" w:hAnsi="宋体" w:cs="宋体"/>
          <w:highlight w:val="none"/>
        </w:rPr>
        <w:t>日期：</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w:t>
      </w:r>
    </w:p>
    <w:p>
      <w:pPr>
        <w:pStyle w:val="47"/>
        <w:spacing w:line="360" w:lineRule="auto"/>
        <w:rPr>
          <w:rFonts w:hint="eastAsia"/>
          <w:highlight w:val="none"/>
          <w:lang w:val="en-GB"/>
        </w:rPr>
      </w:pPr>
    </w:p>
    <w:p>
      <w:pPr>
        <w:pStyle w:val="4"/>
        <w:spacing w:line="360" w:lineRule="auto"/>
        <w:rPr>
          <w:rFonts w:hint="eastAsia" w:ascii="宋体" w:hAnsi="宋体" w:eastAsia="宋体" w:cs="宋体"/>
          <w:sz w:val="24"/>
          <w:szCs w:val="24"/>
          <w:highlight w:val="none"/>
        </w:rPr>
      </w:pPr>
      <w:bookmarkStart w:id="132" w:name="_Toc23844"/>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52"/>
          <w:szCs w:val="52"/>
          <w:highlight w:val="none"/>
        </w:rPr>
      </w:pPr>
      <w:r>
        <w:rPr>
          <w:rFonts w:hint="eastAsia" w:ascii="宋体" w:hAnsi="宋体" w:eastAsia="宋体" w:cs="宋体"/>
          <w:sz w:val="52"/>
          <w:szCs w:val="52"/>
          <w:highlight w:val="none"/>
        </w:rPr>
        <w:t>第二章  资格性文件</w:t>
      </w:r>
      <w:bookmarkEnd w:id="132"/>
    </w:p>
    <w:p>
      <w:pPr>
        <w:spacing w:line="360" w:lineRule="auto"/>
        <w:rPr>
          <w:rFonts w:hint="eastAsia" w:ascii="宋体" w:hAnsi="宋体" w:eastAsia="宋体" w:cs="宋体"/>
          <w:szCs w:val="24"/>
          <w:highlight w:val="none"/>
        </w:rPr>
      </w:pP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（注：本章内容为须提供内容，否则评审时将导致无效磋商，</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对此造成的后果由供应商自负。）</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5"/>
        <w:numPr>
          <w:ilvl w:val="1"/>
          <w:numId w:val="49"/>
        </w:numPr>
        <w:spacing w:after="120" w:afterLines="50" w:line="360" w:lineRule="auto"/>
        <w:ind w:left="435" w:hanging="435"/>
        <w:jc w:val="center"/>
        <w:rPr>
          <w:rFonts w:hint="eastAsia" w:ascii="宋体" w:hAnsi="宋体" w:cs="宋体"/>
          <w:szCs w:val="24"/>
          <w:highlight w:val="none"/>
          <w:lang w:val="en-GB"/>
        </w:rPr>
      </w:pPr>
      <w:r>
        <w:rPr>
          <w:rFonts w:hint="eastAsia" w:ascii="宋体" w:hAnsi="宋体" w:eastAsia="宋体" w:cs="宋体"/>
          <w:szCs w:val="24"/>
          <w:highlight w:val="none"/>
        </w:rPr>
        <w:br w:type="page"/>
      </w:r>
      <w:r>
        <w:rPr>
          <w:rFonts w:hint="eastAsia" w:ascii="宋体" w:hAnsi="宋体" w:cs="宋体"/>
          <w:szCs w:val="24"/>
          <w:highlight w:val="none"/>
          <w:lang w:val="en-GB"/>
        </w:rPr>
        <w:t>关于资格的声明函</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致佛山</w:t>
      </w:r>
      <w:r>
        <w:rPr>
          <w:rFonts w:hint="eastAsia" w:ascii="宋体" w:hAnsi="宋体" w:cs="宋体"/>
          <w:szCs w:val="24"/>
          <w:highlight w:val="none"/>
          <w:lang w:val="en-GB" w:eastAsia="zh-CN"/>
        </w:rPr>
        <w:t>市公安局</w:t>
      </w:r>
      <w:r>
        <w:rPr>
          <w:rFonts w:hint="eastAsia" w:ascii="宋体" w:hAnsi="宋体" w:cs="宋体"/>
          <w:szCs w:val="24"/>
          <w:highlight w:val="none"/>
          <w:lang w:val="en-GB"/>
        </w:rPr>
        <w:t>：</w:t>
      </w:r>
    </w:p>
    <w:p>
      <w:pPr>
        <w:pStyle w:val="5"/>
        <w:spacing w:after="120" w:afterLines="50" w:line="360" w:lineRule="auto"/>
        <w:ind w:firstLine="482" w:firstLineChars="200"/>
        <w:jc w:val="left"/>
        <w:rPr>
          <w:rFonts w:hint="eastAsia" w:ascii="宋体" w:hAnsi="宋体" w:cs="宋体"/>
          <w:szCs w:val="24"/>
          <w:highlight w:val="none"/>
          <w:lang w:val="en-GB"/>
        </w:rPr>
      </w:pPr>
      <w:r>
        <w:rPr>
          <w:rFonts w:hint="eastAsia" w:ascii="宋体" w:hAnsi="宋体" w:cs="宋体"/>
          <w:szCs w:val="24"/>
          <w:highlight w:val="none"/>
          <w:lang w:val="en-GB"/>
        </w:rPr>
        <w:t>关于贵方</w:t>
      </w:r>
      <w:r>
        <w:rPr>
          <w:rFonts w:hint="eastAsia" w:ascii="宋体" w:hAnsi="宋体" w:cs="宋体"/>
          <w:szCs w:val="24"/>
          <w:highlight w:val="none"/>
          <w:u w:val="single"/>
          <w:lang w:val="en-GB" w:eastAsia="zh-CN"/>
        </w:rPr>
        <w:t>项目名称</w:t>
      </w:r>
      <w:r>
        <w:rPr>
          <w:rFonts w:hint="eastAsia" w:ascii="宋体" w:hAnsi="宋体" w:cs="宋体"/>
          <w:szCs w:val="24"/>
          <w:highlight w:val="none"/>
          <w:lang w:val="en-GB" w:eastAsia="zh-CN"/>
        </w:rPr>
        <w:t>（项目编号：</w:t>
      </w:r>
      <w:r>
        <w:rPr>
          <w:rFonts w:hint="eastAsia" w:ascii="宋体" w:hAnsi="宋体" w:cs="宋体"/>
          <w:szCs w:val="24"/>
          <w:highlight w:val="none"/>
          <w:u w:val="single"/>
          <w:lang w:val="en-US" w:eastAsia="zh-CN"/>
        </w:rPr>
        <w:t xml:space="preserve">         </w:t>
      </w:r>
      <w:r>
        <w:rPr>
          <w:rFonts w:hint="eastAsia" w:ascii="宋体" w:hAnsi="宋体" w:cs="宋体"/>
          <w:szCs w:val="24"/>
          <w:highlight w:val="none"/>
          <w:lang w:val="en-GB" w:eastAsia="zh-CN"/>
        </w:rPr>
        <w:t>）</w:t>
      </w:r>
      <w:r>
        <w:rPr>
          <w:rFonts w:hint="eastAsia" w:ascii="宋体" w:hAnsi="宋体" w:cs="宋体"/>
          <w:szCs w:val="24"/>
          <w:highlight w:val="none"/>
          <w:lang w:val="en-GB"/>
        </w:rPr>
        <w:t>投标邀请，本签字人愿意参加投标，如有欺诈、隐瞒事实违法行为，愿接受相关</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部门的依法处理。</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一、我方对《政府采购法》第二十二条规定的条件及其他相关要求作以下承诺：</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1.我方(填“具有”/“不具有”)独立承担民事责任的能力；</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2.我方(填“具有”/“不具有”)良好的商业信誉和健全的财务会计制度；</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3.我方(填“具有”/“不具有”)履行合同所必需的设备和专业技术能力；</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4.我方(填“有”/“无”)依法缴纳税收和社会保障资金的良好记录；</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5.我方参加政府采购活动前三年内，在经营活动中(填“有”或“无”)重大违法记录；</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6.我方(填“符合”/“不符合”)法律、行政法规规定的其他条件。</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7.我方(填“没有”/“有”) 被列入失信被执行人、重大税收违法案件当事人名单、政</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府采购严重违法失信行为记录名单。</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8.根据《中华人民共和国政府采购法实施条例》的规定，本公司（企业）如为采购项目</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提供整体设计、规范编制或者项目管理、监理、检测等服务的供应商，不再参加该采</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购项目的其他采购活动。</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9.我方承诺单位负责人为同一人或者存在直接控股、管理关系的不同供应商，不得同时</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参加本采购项目投标。</w:t>
      </w:r>
    </w:p>
    <w:p>
      <w:pPr>
        <w:tabs>
          <w:tab w:val="left" w:pos="-3780"/>
        </w:tabs>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rPr>
          <w:rFonts w:hint="eastAsia" w:ascii="宋体" w:hAnsi="宋体" w:cs="宋体"/>
          <w:szCs w:val="24"/>
          <w:highlight w:val="none"/>
          <w:lang w:val="en-GB"/>
        </w:rPr>
      </w:pP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2.2营业执照</w:t>
      </w:r>
    </w:p>
    <w:p>
      <w:pPr>
        <w:spacing w:line="360" w:lineRule="auto"/>
        <w:rPr>
          <w:rFonts w:hint="eastAsia" w:ascii="宋体" w:hAnsi="宋体" w:eastAsia="宋体" w:cs="宋体"/>
          <w:szCs w:val="24"/>
          <w:highlight w:val="none"/>
        </w:rPr>
      </w:pPr>
    </w:p>
    <w:tbl>
      <w:tblPr>
        <w:tblStyle w:val="44"/>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1.</w:t>
            </w:r>
            <w:r>
              <w:rPr>
                <w:rFonts w:hint="eastAsia" w:ascii="宋体" w:hAnsi="宋体" w:eastAsia="宋体" w:cs="宋体"/>
                <w:szCs w:val="24"/>
                <w:highlight w:val="none"/>
                <w:lang w:val="en-GB"/>
              </w:rPr>
              <w:t>此项附</w:t>
            </w:r>
            <w:r>
              <w:rPr>
                <w:rFonts w:hint="eastAsia" w:ascii="宋体" w:hAnsi="宋体" w:eastAsia="宋体" w:cs="宋体"/>
                <w:szCs w:val="24"/>
                <w:highlight w:val="none"/>
                <w:u w:val="single"/>
                <w:lang w:val="en-GB"/>
              </w:rPr>
              <w:t>《营业执照》或《事业单位法人证书》（副本）</w:t>
            </w:r>
            <w:r>
              <w:rPr>
                <w:rFonts w:hint="eastAsia" w:ascii="宋体" w:hAnsi="宋体" w:eastAsia="宋体" w:cs="宋体"/>
                <w:szCs w:val="24"/>
                <w:highlight w:val="none"/>
                <w:lang w:val="en-GB"/>
              </w:rPr>
              <w:t>；</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2.</w:t>
            </w:r>
            <w:r>
              <w:rPr>
                <w:rFonts w:hint="eastAsia" w:ascii="宋体" w:hAnsi="宋体" w:eastAsia="宋体" w:cs="宋体"/>
                <w:szCs w:val="24"/>
                <w:highlight w:val="none"/>
                <w:lang w:val="en-GB"/>
              </w:rPr>
              <w:t>证明材料为复印件或扫描件（加盖公章）；</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3.</w:t>
            </w:r>
            <w:r>
              <w:rPr>
                <w:rFonts w:hint="eastAsia" w:ascii="宋体" w:hAnsi="宋体" w:eastAsia="宋体" w:cs="宋体"/>
                <w:szCs w:val="24"/>
                <w:highlight w:val="none"/>
                <w:lang w:val="en-GB"/>
              </w:rPr>
              <w:t>如企业名称已变更，应再附上工商部门出具的核准变更通知书。</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4.</w:t>
            </w:r>
            <w:r>
              <w:rPr>
                <w:rFonts w:hint="eastAsia" w:ascii="宋体" w:hAnsi="宋体" w:eastAsia="宋体" w:cs="宋体"/>
                <w:szCs w:val="24"/>
                <w:highlight w:val="none"/>
                <w:lang w:val="en-GB"/>
              </w:rPr>
              <w:t>若不能附全可增加页；</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5.</w:t>
            </w:r>
            <w:r>
              <w:rPr>
                <w:rFonts w:hint="eastAsia" w:ascii="宋体" w:hAnsi="宋体" w:eastAsia="宋体" w:cs="宋体"/>
                <w:szCs w:val="24"/>
                <w:highlight w:val="none"/>
                <w:lang w:val="en-GB"/>
              </w:rPr>
              <w:t>供应商附上复印件或扫描件时可覆盖虚线框。</w:t>
            </w:r>
          </w:p>
        </w:tc>
      </w:tr>
    </w:tbl>
    <w:p>
      <w:pPr>
        <w:spacing w:line="360" w:lineRule="auto"/>
        <w:rPr>
          <w:rFonts w:hint="eastAsia" w:ascii="宋体" w:hAnsi="宋体" w:eastAsia="宋体" w:cs="宋体"/>
          <w:szCs w:val="24"/>
          <w:highlight w:val="none"/>
          <w:lang w:val="en-GB"/>
        </w:rPr>
      </w:pPr>
    </w:p>
    <w:p>
      <w:pPr>
        <w:pStyle w:val="6"/>
        <w:spacing w:before="0" w:after="0"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供应商认为须要提供的材料（可选）</w:t>
      </w:r>
    </w:p>
    <w:p>
      <w:pPr>
        <w:spacing w:line="360" w:lineRule="auto"/>
        <w:rPr>
          <w:rFonts w:hint="eastAsia" w:ascii="宋体" w:hAnsi="宋体" w:eastAsia="宋体" w:cs="宋体"/>
          <w:szCs w:val="24"/>
          <w:highlight w:val="none"/>
        </w:rPr>
      </w:pPr>
    </w:p>
    <w:tbl>
      <w:tblPr>
        <w:tblStyle w:val="44"/>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1.</w:t>
            </w:r>
            <w:r>
              <w:rPr>
                <w:rFonts w:hint="eastAsia" w:ascii="宋体" w:hAnsi="宋体" w:eastAsia="宋体" w:cs="宋体"/>
                <w:szCs w:val="24"/>
                <w:highlight w:val="none"/>
                <w:lang w:val="en-GB"/>
              </w:rPr>
              <w:t>此项附</w:t>
            </w:r>
            <w:r>
              <w:rPr>
                <w:rFonts w:hint="eastAsia" w:ascii="宋体" w:hAnsi="宋体" w:eastAsia="宋体" w:cs="宋体"/>
                <w:szCs w:val="24"/>
                <w:highlight w:val="none"/>
                <w:u w:val="single"/>
                <w:lang w:val="en-GB"/>
              </w:rPr>
              <w:t>供应商认为须要提供的材料</w:t>
            </w:r>
            <w:r>
              <w:rPr>
                <w:rFonts w:hint="eastAsia" w:ascii="宋体" w:hAnsi="宋体" w:eastAsia="宋体" w:cs="宋体"/>
                <w:szCs w:val="24"/>
                <w:highlight w:val="none"/>
                <w:lang w:val="en-GB"/>
              </w:rPr>
              <w:t>；</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2.</w:t>
            </w:r>
            <w:r>
              <w:rPr>
                <w:rFonts w:hint="eastAsia" w:ascii="宋体" w:hAnsi="宋体" w:eastAsia="宋体" w:cs="宋体"/>
                <w:szCs w:val="24"/>
                <w:highlight w:val="none"/>
                <w:lang w:val="en-GB"/>
              </w:rPr>
              <w:t>证明材料为复印件或扫描件（加盖公章）；</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3.</w:t>
            </w:r>
            <w:r>
              <w:rPr>
                <w:rFonts w:hint="eastAsia" w:ascii="宋体" w:hAnsi="宋体" w:eastAsia="宋体" w:cs="宋体"/>
                <w:szCs w:val="24"/>
                <w:highlight w:val="none"/>
                <w:lang w:val="en-GB"/>
              </w:rPr>
              <w:t>若不能附全可增加页；</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4.</w:t>
            </w:r>
            <w:r>
              <w:rPr>
                <w:rFonts w:hint="eastAsia" w:ascii="宋体" w:hAnsi="宋体" w:eastAsia="宋体" w:cs="宋体"/>
                <w:szCs w:val="24"/>
                <w:highlight w:val="none"/>
                <w:lang w:val="en-GB"/>
              </w:rPr>
              <w:t>供应商附上复印件时可覆盖虚线框。</w:t>
            </w:r>
          </w:p>
        </w:tc>
      </w:tr>
    </w:tbl>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480"/>
        <w:rPr>
          <w:rFonts w:hint="eastAsia" w:ascii="宋体" w:hAnsi="宋体" w:eastAsia="宋体" w:cs="宋体"/>
          <w:szCs w:val="24"/>
          <w:highlight w:val="none"/>
        </w:rPr>
      </w:pPr>
    </w:p>
    <w:p>
      <w:pPr>
        <w:pStyle w:val="12"/>
        <w:spacing w:line="360" w:lineRule="auto"/>
        <w:ind w:firstLine="0" w:firstLineChars="0"/>
        <w:rPr>
          <w:rFonts w:hint="eastAsia" w:ascii="宋体" w:hAnsi="宋体" w:eastAsia="宋体" w:cs="宋体"/>
          <w:szCs w:val="24"/>
          <w:highlight w:val="none"/>
        </w:rPr>
      </w:pPr>
    </w:p>
    <w:p>
      <w:pPr>
        <w:pStyle w:val="12"/>
        <w:spacing w:line="360" w:lineRule="auto"/>
        <w:ind w:firstLine="880"/>
        <w:rPr>
          <w:rFonts w:hint="eastAsia" w:ascii="宋体" w:hAnsi="宋体" w:eastAsia="宋体" w:cs="宋体"/>
          <w:sz w:val="44"/>
          <w:szCs w:val="44"/>
          <w:highlight w:val="none"/>
        </w:rPr>
      </w:pPr>
    </w:p>
    <w:p>
      <w:pPr>
        <w:pStyle w:val="4"/>
        <w:spacing w:line="360" w:lineRule="auto"/>
        <w:jc w:val="center"/>
        <w:rPr>
          <w:rFonts w:hint="eastAsia" w:ascii="宋体" w:hAnsi="宋体" w:eastAsia="宋体" w:cs="宋体"/>
          <w:sz w:val="48"/>
          <w:szCs w:val="48"/>
          <w:highlight w:val="none"/>
        </w:rPr>
      </w:pPr>
      <w:bookmarkStart w:id="133" w:name="_Toc18945"/>
      <w:bookmarkStart w:id="134" w:name="_Toc19599"/>
      <w:bookmarkStart w:id="135" w:name="_Toc8125"/>
      <w:r>
        <w:rPr>
          <w:rFonts w:hint="eastAsia" w:ascii="宋体" w:hAnsi="宋体" w:eastAsia="宋体" w:cs="宋体"/>
          <w:sz w:val="48"/>
          <w:szCs w:val="48"/>
          <w:highlight w:val="none"/>
        </w:rPr>
        <w:t>第三章</w:t>
      </w:r>
      <w:r>
        <w:rPr>
          <w:rFonts w:hint="eastAsia" w:ascii="宋体" w:hAnsi="宋体" w:eastAsia="宋体" w:cs="宋体"/>
          <w:sz w:val="48"/>
          <w:szCs w:val="48"/>
          <w:highlight w:val="none"/>
        </w:rPr>
        <w:tab/>
      </w:r>
      <w:r>
        <w:rPr>
          <w:rFonts w:hint="eastAsia" w:ascii="宋体" w:hAnsi="宋体" w:eastAsia="宋体" w:cs="宋体"/>
          <w:sz w:val="48"/>
          <w:szCs w:val="48"/>
          <w:highlight w:val="none"/>
        </w:rPr>
        <w:t>符合性文件</w:t>
      </w:r>
      <w:bookmarkEnd w:id="133"/>
      <w:bookmarkEnd w:id="134"/>
      <w:bookmarkEnd w:id="135"/>
    </w:p>
    <w:p>
      <w:pPr>
        <w:pStyle w:val="16"/>
        <w:spacing w:before="11" w:line="360" w:lineRule="auto"/>
        <w:rPr>
          <w:rFonts w:hint="eastAsia" w:ascii="宋体" w:hAnsi="宋体" w:eastAsia="宋体" w:cs="宋体"/>
          <w:b/>
          <w:sz w:val="24"/>
          <w:szCs w:val="24"/>
          <w:highlight w:val="none"/>
        </w:rPr>
      </w:pPr>
    </w:p>
    <w:p>
      <w:pPr>
        <w:pStyle w:val="16"/>
        <w:spacing w:line="360" w:lineRule="auto"/>
        <w:ind w:left="1552" w:right="1551"/>
        <w:jc w:val="center"/>
        <w:rPr>
          <w:rFonts w:hint="eastAsia" w:ascii="宋体" w:hAnsi="宋体" w:eastAsia="宋体" w:cs="宋体"/>
          <w:sz w:val="24"/>
          <w:szCs w:val="24"/>
          <w:highlight w:val="none"/>
        </w:rPr>
        <w:sectPr>
          <w:headerReference r:id="rId8" w:type="default"/>
          <w:footerReference r:id="rId9" w:type="default"/>
          <w:pgSz w:w="11910" w:h="16840"/>
          <w:pgMar w:top="1000" w:right="1160" w:bottom="1040" w:left="1160" w:header="794" w:footer="841" w:gutter="0"/>
          <w:cols w:space="720" w:num="1"/>
        </w:sectPr>
      </w:pPr>
      <w:r>
        <w:rPr>
          <w:rFonts w:hint="eastAsia" w:ascii="宋体" w:hAnsi="宋体" w:eastAsia="宋体" w:cs="宋体"/>
          <w:sz w:val="24"/>
          <w:szCs w:val="24"/>
          <w:highlight w:val="none"/>
        </w:rPr>
        <w:t>（注：本节内容为须提供内容，否则评审时将导致无效磋商，对此造成的后果由供应商自负。以下格式为参考格式，供应商可根据实际情况修改（磋商承诺函除外）</w:t>
      </w: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3.1 磋商承诺函</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致  </w:t>
      </w:r>
      <w:r>
        <w:rPr>
          <w:rFonts w:hint="eastAsia" w:ascii="宋体" w:hAnsi="宋体" w:eastAsia="宋体" w:cs="宋体"/>
          <w:b/>
          <w:szCs w:val="24"/>
          <w:highlight w:val="none"/>
          <w:u w:val="single"/>
        </w:rPr>
        <w:t>佛山市公安局</w:t>
      </w:r>
      <w:r>
        <w:rPr>
          <w:rFonts w:hint="eastAsia" w:ascii="宋体" w:hAnsi="宋体" w:eastAsia="宋体" w:cs="宋体"/>
          <w:b/>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我方根据采购文件的要求，通过委任的全权代表，向贵方递交密封册装的全套响应文件参与下列项目的磋商，现为我方的一切磋商行为作郑重承诺及声明如下：</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采购项目名称：</w:t>
      </w:r>
      <w:r>
        <w:rPr>
          <w:rFonts w:hint="eastAsia" w:ascii="宋体" w:hAnsi="宋体" w:cs="宋体"/>
          <w:szCs w:val="24"/>
          <w:highlight w:val="none"/>
          <w:lang w:val="en-GB" w:eastAsia="zh-CN"/>
        </w:rPr>
        <w:t>佛山市公安局森林分局2022年购买警务辅助服务项目（第二次）</w:t>
      </w:r>
      <w:r>
        <w:rPr>
          <w:rFonts w:hint="eastAsia" w:ascii="宋体" w:hAnsi="宋体" w:eastAsia="宋体" w:cs="宋体"/>
          <w:szCs w:val="24"/>
          <w:highlight w:val="none"/>
          <w:lang w:val="en-GB"/>
        </w:rPr>
        <w:t xml:space="preserve"> </w:t>
      </w:r>
    </w:p>
    <w:p>
      <w:pPr>
        <w:tabs>
          <w:tab w:val="left" w:pos="540"/>
        </w:tabs>
        <w:snapToGrid w:val="0"/>
        <w:spacing w:line="360" w:lineRule="auto"/>
        <w:ind w:left="510"/>
        <w:rPr>
          <w:rFonts w:hint="eastAsia" w:ascii="宋体" w:hAnsi="宋体" w:eastAsia="宋体" w:cs="宋体"/>
          <w:szCs w:val="24"/>
          <w:highlight w:val="none"/>
          <w:lang w:val="en-GB" w:eastAsia="zh-CN"/>
        </w:rPr>
      </w:pPr>
      <w:r>
        <w:rPr>
          <w:rFonts w:hint="eastAsia" w:ascii="宋体" w:hAnsi="宋体" w:eastAsia="宋体" w:cs="宋体"/>
          <w:szCs w:val="24"/>
          <w:highlight w:val="none"/>
          <w:lang w:val="en-GB"/>
        </w:rPr>
        <w:t>采购项目编号：</w:t>
      </w:r>
      <w:r>
        <w:rPr>
          <w:rFonts w:hint="eastAsia" w:ascii="宋体" w:hAnsi="宋体" w:cs="宋体"/>
          <w:szCs w:val="24"/>
          <w:highlight w:val="none"/>
          <w:lang w:eastAsia="zh-CN"/>
        </w:rPr>
        <w:t>fsganb20211204</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我方已认真阅读了全部采购文件及其相关文件，完全清楚理解其内容及规约，同意接受文件的要求，均没有任何异议、质疑和误解之处。</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我方确认自身完全符合《政府采购法》第二十二条供应商资格条件要求。</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磋商有效期为磋商截止时间起90天，若我方获成交资格，磋商有效期则相应延长至项目最终验收合格之日，不论在任何时候，定将按贵方的要求在规定时间内如实提供一切补充材料。</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完全服从和尊重磋商小组所作的评审结果，同时清楚理解到仅凭磋商报价并非是决定成交资格的唯一重要依据。</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同意按采购文件规定向贵方缴纳成交服务费，并按《成交通知书》的要求，如期签订合同并履行其一切责任和义务。</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我方在参与本次磋商活动中，不曾以任何不正当的手段影响、串通、排斥有关当事人或谋取、施予非法利益，如有行为不当，愿独自承担此行为所造成的后果和法律责任。</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我方承诺已知悉下列要求，并确认我方符合本项目的供应商资格要求：</w:t>
      </w:r>
    </w:p>
    <w:p>
      <w:pPr>
        <w:numPr>
          <w:ilvl w:val="1"/>
          <w:numId w:val="58"/>
        </w:numPr>
        <w:tabs>
          <w:tab w:val="left" w:pos="540"/>
          <w:tab w:val="left" w:pos="8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供应商须为独立于采购人和采购代理机构且具备本项目实施能力的机构；</w:t>
      </w:r>
    </w:p>
    <w:p>
      <w:pPr>
        <w:numPr>
          <w:ilvl w:val="1"/>
          <w:numId w:val="58"/>
        </w:numPr>
        <w:tabs>
          <w:tab w:val="left" w:pos="540"/>
          <w:tab w:val="left" w:pos="8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与采购人存在利害关系可能影响招标公正性的法人、其他组织或者个人，不得参加磋商；</w:t>
      </w:r>
    </w:p>
    <w:p>
      <w:pPr>
        <w:numPr>
          <w:ilvl w:val="1"/>
          <w:numId w:val="58"/>
        </w:numPr>
        <w:tabs>
          <w:tab w:val="left" w:pos="540"/>
          <w:tab w:val="left" w:pos="8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单位负责人为同一人或者存在直接控股、管理关系的不同供应商，不得参加同一合同项下的政府采购活动。</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本承诺函效力及范围均涵盖整套响应文件和一切补充文件。</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bookmarkStart w:id="136" w:name="_投标承诺函"/>
      <w:bookmarkEnd w:id="136"/>
      <w:bookmarkStart w:id="137" w:name="_法人代表授权书"/>
      <w:bookmarkEnd w:id="137"/>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tabs>
          <w:tab w:val="left" w:pos="-3780"/>
        </w:tabs>
        <w:spacing w:line="360" w:lineRule="auto"/>
        <w:rPr>
          <w:rFonts w:hint="eastAsia" w:ascii="宋体" w:hAnsi="宋体" w:eastAsia="宋体" w:cs="宋体"/>
          <w:szCs w:val="24"/>
          <w:highlight w:val="none"/>
          <w:lang w:val="en-GB"/>
        </w:rPr>
      </w:pP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说明及要求：本承诺函内容不得擅自删改。</w:t>
      </w:r>
    </w:p>
    <w:p>
      <w:pPr>
        <w:spacing w:line="360" w:lineRule="auto"/>
        <w:rPr>
          <w:rFonts w:hint="eastAsia" w:ascii="宋体" w:hAnsi="宋体" w:eastAsia="宋体" w:cs="宋体"/>
          <w:szCs w:val="24"/>
          <w:highlight w:val="none"/>
          <w:lang w:val="en-GB"/>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3.2 法定代表人证明书及授权书</w:t>
      </w: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3.2.1 法定代表人证明书</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单位名称：</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成立时间：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经营期限：</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姓    名：</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；身份证号码：</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w:t>
      </w:r>
    </w:p>
    <w:p>
      <w:pPr>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联系电话（手机）：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；职务：</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w:t>
      </w:r>
    </w:p>
    <w:p>
      <w:pPr>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性别：</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；年龄：</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系</w:t>
      </w:r>
      <w:r>
        <w:rPr>
          <w:rFonts w:hint="eastAsia" w:ascii="宋体" w:hAnsi="宋体" w:eastAsia="宋体" w:cs="宋体"/>
          <w:szCs w:val="24"/>
          <w:highlight w:val="none"/>
          <w:u w:val="single"/>
        </w:rPr>
        <w:t xml:space="preserve">            （供应商单位名称）            </w:t>
      </w:r>
      <w:r>
        <w:rPr>
          <w:rFonts w:hint="eastAsia" w:ascii="宋体" w:hAnsi="宋体" w:eastAsia="宋体" w:cs="宋体"/>
          <w:szCs w:val="24"/>
          <w:highlight w:val="none"/>
        </w:rPr>
        <w:t>的法定代表人。</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特此证明。</w:t>
      </w:r>
    </w:p>
    <w:p>
      <w:pPr>
        <w:spacing w:line="360" w:lineRule="auto"/>
        <w:rPr>
          <w:rFonts w:hint="eastAsia" w:ascii="宋体" w:hAnsi="宋体" w:eastAsia="宋体" w:cs="宋体"/>
          <w:szCs w:val="24"/>
          <w:highlight w:val="none"/>
        </w:rPr>
      </w:pPr>
    </w:p>
    <w:p>
      <w:pPr>
        <w:spacing w:after="156" w:afterLines="50" w:line="360" w:lineRule="auto"/>
        <w:rPr>
          <w:rFonts w:hint="eastAsia" w:ascii="宋体" w:hAnsi="宋体" w:eastAsia="宋体" w:cs="宋体"/>
          <w:b/>
          <w:szCs w:val="24"/>
          <w:highlight w:val="none"/>
        </w:rPr>
      </w:pPr>
      <w:r>
        <w:rPr>
          <w:rFonts w:hint="eastAsia" w:ascii="宋体" w:hAnsi="宋体" w:eastAsia="宋体" w:cs="宋体"/>
          <w:b/>
          <w:szCs w:val="24"/>
          <w:highlight w:val="none"/>
          <w:lang w:val="en-GB"/>
        </w:rPr>
        <w:t>法定代表人身份证复印件：</w:t>
      </w:r>
    </w:p>
    <w:tbl>
      <w:tblPr>
        <w:tblStyle w:val="4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9" w:hRule="atLeast"/>
        </w:trPr>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法定代表人</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（正面）</w:t>
            </w:r>
          </w:p>
          <w:p>
            <w:pPr>
              <w:spacing w:line="360" w:lineRule="auto"/>
              <w:jc w:val="left"/>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可选择以下方式贴上（任意一种）：</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注：粘贴时可覆盖线框。</w:t>
            </w:r>
          </w:p>
        </w:tc>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法定代表人</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（背面）</w:t>
            </w:r>
          </w:p>
          <w:p>
            <w:pPr>
              <w:spacing w:line="360" w:lineRule="auto"/>
              <w:jc w:val="center"/>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可选择以下方式贴上（任意一种）：</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GB"/>
              </w:rPr>
              <w:t>注：粘贴时可覆盖线框。</w:t>
            </w:r>
          </w:p>
        </w:tc>
      </w:tr>
    </w:tbl>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ind w:firstLine="480" w:firstLineChars="200"/>
        <w:rPr>
          <w:rFonts w:hint="eastAsia" w:ascii="宋体" w:hAnsi="宋体" w:eastAsia="宋体" w:cs="宋体"/>
          <w:szCs w:val="24"/>
          <w:highlight w:val="none"/>
        </w:rPr>
      </w:pP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3.2.2 供应商授权书</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（注：若供应商“法定代表人”参加磋商和签署响应文件的不须提供该授权书）</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致  </w:t>
      </w:r>
      <w:r>
        <w:rPr>
          <w:rFonts w:hint="eastAsia" w:ascii="宋体" w:hAnsi="宋体" w:eastAsia="宋体" w:cs="宋体"/>
          <w:b/>
          <w:szCs w:val="24"/>
          <w:highlight w:val="none"/>
          <w:u w:val="single"/>
        </w:rPr>
        <w:t>佛山市公安局</w:t>
      </w:r>
      <w:r>
        <w:rPr>
          <w:rFonts w:hint="eastAsia" w:ascii="宋体" w:hAnsi="宋体" w:eastAsia="宋体" w:cs="宋体"/>
          <w:b/>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lang w:val="en-GB"/>
        </w:rPr>
        <w:t>我方现授权委任以下之在职员工，作为我方唯一全权代表，亲自出席参与贵方承办的政府采购项目磋商，对该代表人所提供、签署的一切文书均视为符合我方的合法利益和真实意愿，我方愿为其磋商行为承担全部责任。</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lang w:val="en-GB"/>
        </w:rPr>
        <w:t>采购项目名称：</w:t>
      </w:r>
      <w:r>
        <w:rPr>
          <w:rFonts w:hint="eastAsia" w:ascii="宋体" w:hAnsi="宋体" w:cs="宋体"/>
          <w:szCs w:val="24"/>
          <w:highlight w:val="none"/>
          <w:lang w:val="en-GB" w:eastAsia="zh-CN"/>
        </w:rPr>
        <w:t>佛山市公安局森林分局2022年购买警务辅助服务项目（第二次）</w:t>
      </w:r>
      <w:r>
        <w:rPr>
          <w:rFonts w:hint="eastAsia" w:ascii="宋体" w:hAnsi="宋体" w:eastAsia="宋体" w:cs="宋体"/>
          <w:szCs w:val="24"/>
          <w:highlight w:val="none"/>
          <w:lang w:val="en-GB"/>
        </w:rPr>
        <w:t xml:space="preserve"> </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采购项目编号：</w:t>
      </w:r>
      <w:r>
        <w:rPr>
          <w:rFonts w:hint="eastAsia" w:ascii="宋体" w:hAnsi="宋体" w:cs="宋体"/>
          <w:szCs w:val="24"/>
          <w:highlight w:val="none"/>
          <w:lang w:eastAsia="zh-CN"/>
        </w:rPr>
        <w:t>fsganb20211204</w:t>
      </w:r>
      <w:r>
        <w:rPr>
          <w:rFonts w:hint="eastAsia" w:ascii="宋体" w:hAnsi="宋体" w:eastAsia="宋体" w:cs="宋体"/>
          <w:szCs w:val="24"/>
          <w:highlight w:val="none"/>
          <w:lang w:val="en-GB"/>
        </w:rPr>
        <w:t xml:space="preserve"> </w:t>
      </w:r>
    </w:p>
    <w:p>
      <w:pPr>
        <w:spacing w:line="360" w:lineRule="auto"/>
        <w:ind w:left="1661" w:leftChars="200" w:hanging="1181" w:hangingChars="490"/>
        <w:rPr>
          <w:rFonts w:hint="eastAsia" w:ascii="宋体" w:hAnsi="宋体" w:eastAsia="宋体" w:cs="宋体"/>
          <w:szCs w:val="24"/>
          <w:highlight w:val="none"/>
        </w:rPr>
      </w:pPr>
      <w:r>
        <w:rPr>
          <w:rFonts w:hint="eastAsia" w:ascii="宋体" w:hAnsi="宋体" w:eastAsia="宋体" w:cs="宋体"/>
          <w:b/>
          <w:szCs w:val="24"/>
          <w:highlight w:val="none"/>
        </w:rPr>
        <w:t>授权权限：</w:t>
      </w:r>
      <w:r>
        <w:rPr>
          <w:rFonts w:hint="eastAsia" w:ascii="宋体" w:hAnsi="宋体" w:eastAsia="宋体" w:cs="宋体"/>
          <w:szCs w:val="24"/>
          <w:highlight w:val="none"/>
        </w:rPr>
        <w:t>全权代表我方参与上述项目的磋商、递交响应文件；按照采购人和磋商小组的要求现场处理磋商相关事宜；负责提供与签署确认一切文书资料，以及向贵方递交任何补充承诺，其签字与我方公章具有相同的法律效力。</w:t>
      </w:r>
    </w:p>
    <w:p>
      <w:pPr>
        <w:spacing w:line="360" w:lineRule="auto"/>
        <w:ind w:left="1661" w:leftChars="200" w:hanging="1181" w:hangingChars="490"/>
        <w:rPr>
          <w:rFonts w:hint="eastAsia" w:ascii="宋体" w:hAnsi="宋体" w:eastAsia="宋体" w:cs="宋体"/>
          <w:szCs w:val="24"/>
          <w:highlight w:val="none"/>
        </w:rPr>
      </w:pPr>
      <w:r>
        <w:rPr>
          <w:rFonts w:hint="eastAsia" w:ascii="宋体" w:hAnsi="宋体" w:eastAsia="宋体" w:cs="宋体"/>
          <w:b/>
          <w:szCs w:val="24"/>
          <w:highlight w:val="none"/>
        </w:rPr>
        <w:t>有效期限：</w:t>
      </w:r>
      <w:r>
        <w:rPr>
          <w:rFonts w:hint="eastAsia" w:ascii="宋体" w:hAnsi="宋体" w:eastAsia="宋体" w:cs="宋体"/>
          <w:szCs w:val="24"/>
          <w:highlight w:val="none"/>
        </w:rPr>
        <w:t>与本项目采购文件中标注的磋商有效期相同，自我方法定代表人签字（或签章）并加盖公章之日起生效。</w:t>
      </w:r>
    </w:p>
    <w:tbl>
      <w:tblPr>
        <w:tblStyle w:val="44"/>
        <w:tblW w:w="9490" w:type="dxa"/>
        <w:jc w:val="center"/>
        <w:tblInd w:w="0" w:type="dxa"/>
        <w:tblLayout w:type="fixed"/>
        <w:tblCellMar>
          <w:top w:w="0" w:type="dxa"/>
          <w:left w:w="108" w:type="dxa"/>
          <w:bottom w:w="0" w:type="dxa"/>
          <w:right w:w="108" w:type="dxa"/>
        </w:tblCellMar>
      </w:tblPr>
      <w:tblGrid>
        <w:gridCol w:w="4994"/>
        <w:gridCol w:w="4496"/>
      </w:tblGrid>
      <w:tr>
        <w:tblPrEx>
          <w:tblLayout w:type="fixed"/>
          <w:tblCellMar>
            <w:top w:w="0" w:type="dxa"/>
            <w:left w:w="108" w:type="dxa"/>
            <w:bottom w:w="0" w:type="dxa"/>
            <w:right w:w="108" w:type="dxa"/>
          </w:tblCellMar>
        </w:tblPrEx>
        <w:trPr>
          <w:trHeight w:val="423" w:hRule="atLeast"/>
          <w:jc w:val="center"/>
        </w:trPr>
        <w:tc>
          <w:tcPr>
            <w:tcW w:w="9490" w:type="dxa"/>
            <w:gridSpan w:val="2"/>
            <w:vAlign w:val="bottom"/>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公司名称：</w:t>
            </w:r>
            <w:r>
              <w:rPr>
                <w:rFonts w:hint="eastAsia" w:ascii="宋体" w:hAnsi="宋体" w:eastAsia="宋体" w:cs="宋体"/>
                <w:szCs w:val="24"/>
                <w:highlight w:val="none"/>
                <w:u w:val="single"/>
                <w:lang w:val="en-GB"/>
              </w:rPr>
              <w:t xml:space="preserve">                                                           （公章）</w:t>
            </w: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全权代表：</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法定代表人：</w:t>
            </w:r>
            <w:r>
              <w:rPr>
                <w:rFonts w:hint="eastAsia" w:ascii="宋体" w:hAnsi="宋体" w:eastAsia="宋体" w:cs="宋体"/>
                <w:szCs w:val="24"/>
                <w:highlight w:val="none"/>
                <w:u w:val="single"/>
                <w:lang w:val="en-GB"/>
              </w:rPr>
              <w:t xml:space="preserve">         （签字或签章）</w:t>
            </w: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身份证号码：</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联系电话：</w:t>
            </w:r>
            <w:r>
              <w:rPr>
                <w:rFonts w:hint="eastAsia" w:ascii="宋体" w:hAnsi="宋体" w:eastAsia="宋体" w:cs="宋体"/>
                <w:szCs w:val="24"/>
                <w:highlight w:val="none"/>
                <w:u w:val="single"/>
                <w:lang w:val="en-GB"/>
              </w:rPr>
              <w:t xml:space="preserve">                         </w:t>
            </w: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职    务：</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联系电话：</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p>
        </w:tc>
      </w:tr>
      <w:tr>
        <w:tblPrEx>
          <w:tblLayout w:type="fixed"/>
          <w:tblCellMar>
            <w:top w:w="0" w:type="dxa"/>
            <w:left w:w="108" w:type="dxa"/>
            <w:bottom w:w="0" w:type="dxa"/>
            <w:right w:w="108" w:type="dxa"/>
          </w:tblCellMar>
        </w:tblPrEx>
        <w:trPr>
          <w:trHeight w:val="415"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p>
        </w:tc>
        <w:tc>
          <w:tcPr>
            <w:tcW w:w="4496"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签字生效日期：    年    月    日</w:t>
            </w:r>
          </w:p>
        </w:tc>
      </w:tr>
    </w:tbl>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lang w:val="en-GB"/>
        </w:rPr>
        <w:t>全权代表身份证复印件：</w:t>
      </w:r>
    </w:p>
    <w:tbl>
      <w:tblPr>
        <w:tblStyle w:val="4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trPr>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全权代表</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（正面）</w:t>
            </w:r>
          </w:p>
          <w:p>
            <w:pPr>
              <w:spacing w:line="360" w:lineRule="auto"/>
              <w:jc w:val="center"/>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可选择以下方式贴上（任意一种）：</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GB"/>
              </w:rPr>
              <w:t>注：粘贴时可覆盖线框。</w:t>
            </w:r>
          </w:p>
        </w:tc>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全权代表</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（背面）</w:t>
            </w:r>
          </w:p>
          <w:p>
            <w:pPr>
              <w:spacing w:line="360" w:lineRule="auto"/>
              <w:jc w:val="center"/>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 xml:space="preserve">可选择以下方式贴上（任意一种）： </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GB"/>
              </w:rPr>
              <w:t>注：粘贴时可覆盖线框。</w:t>
            </w:r>
          </w:p>
        </w:tc>
      </w:tr>
    </w:tbl>
    <w:p>
      <w:pPr>
        <w:spacing w:line="360" w:lineRule="auto"/>
        <w:ind w:left="843" w:hanging="843" w:hangingChars="350"/>
        <w:rPr>
          <w:rFonts w:hint="eastAsia" w:ascii="宋体" w:hAnsi="宋体" w:eastAsia="宋体" w:cs="宋体"/>
          <w:b/>
          <w:szCs w:val="24"/>
          <w:highlight w:val="none"/>
          <w:u w:val="double"/>
        </w:rPr>
      </w:pPr>
    </w:p>
    <w:p>
      <w:pPr>
        <w:spacing w:line="360" w:lineRule="auto"/>
        <w:ind w:left="843" w:hanging="843" w:hangingChars="350"/>
        <w:rPr>
          <w:rFonts w:hint="eastAsia" w:ascii="宋体" w:hAnsi="宋体" w:eastAsia="宋体" w:cs="宋体"/>
          <w:b/>
          <w:szCs w:val="24"/>
          <w:highlight w:val="none"/>
          <w:u w:val="double"/>
        </w:rPr>
      </w:pPr>
      <w:r>
        <w:rPr>
          <w:rFonts w:hint="eastAsia" w:ascii="宋体" w:hAnsi="宋体" w:eastAsia="宋体" w:cs="宋体"/>
          <w:b/>
          <w:szCs w:val="24"/>
          <w:highlight w:val="none"/>
          <w:u w:val="double"/>
        </w:rPr>
        <w:t>说明及要求：</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1.   本授权书内容不得擅自修改；</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2.   供应商填写的内容必须真实、清楚、无涂改，全权代表无权转委；</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3.   本授权书中的全权代表描述不一致者，均已“全权代表身份证复印件”中的信息为准。</w:t>
      </w:r>
    </w:p>
    <w:p>
      <w:pPr>
        <w:pStyle w:val="6"/>
        <w:tabs>
          <w:tab w:val="left" w:pos="3596"/>
        </w:tabs>
        <w:spacing w:before="23" w:after="0"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8"/>
          <w:szCs w:val="48"/>
          <w:highlight w:val="none"/>
        </w:rPr>
      </w:pPr>
      <w:bookmarkStart w:id="138" w:name="_Toc14878"/>
      <w:r>
        <w:rPr>
          <w:rFonts w:hint="eastAsia" w:ascii="宋体" w:hAnsi="宋体" w:eastAsia="宋体" w:cs="宋体"/>
          <w:sz w:val="48"/>
          <w:szCs w:val="48"/>
          <w:highlight w:val="none"/>
        </w:rPr>
        <w:t>第四章  商务部分</w:t>
      </w:r>
      <w:bookmarkEnd w:id="138"/>
    </w:p>
    <w:p>
      <w:pPr>
        <w:spacing w:line="360" w:lineRule="auto"/>
        <w:rPr>
          <w:rFonts w:hint="eastAsia" w:ascii="宋体" w:hAnsi="宋体" w:eastAsia="宋体" w:cs="宋体"/>
          <w:b/>
          <w:szCs w:val="24"/>
          <w:highlight w:val="none"/>
        </w:rPr>
      </w:pP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4.1 商务条款响应表</w:t>
      </w:r>
    </w:p>
    <w:tbl>
      <w:tblPr>
        <w:tblStyle w:val="44"/>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739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708" w:type="dxa"/>
            <w:gridSpan w:val="3"/>
            <w:shd w:val="clear" w:color="auto" w:fill="F2F2F2"/>
            <w:vAlign w:val="center"/>
          </w:tcPr>
          <w:p>
            <w:pPr>
              <w:pStyle w:val="64"/>
              <w:keepNext w:val="0"/>
              <w:adjustRightInd/>
              <w:spacing w:before="0" w:after="0" w:line="360" w:lineRule="auto"/>
              <w:jc w:val="left"/>
              <w:textAlignment w:val="auto"/>
              <w:rPr>
                <w:rFonts w:hint="eastAsia" w:ascii="宋体" w:hAnsi="宋体" w:eastAsia="宋体" w:cs="宋体"/>
                <w:b/>
                <w:spacing w:val="0"/>
                <w:kern w:val="2"/>
                <w:szCs w:val="24"/>
                <w:highlight w:val="none"/>
              </w:rPr>
            </w:pPr>
            <w:r>
              <w:rPr>
                <w:rFonts w:hint="eastAsia" w:ascii="宋体" w:hAnsi="宋体" w:eastAsia="宋体" w:cs="宋体"/>
                <w:b/>
                <w:spacing w:val="0"/>
                <w:kern w:val="2"/>
                <w:szCs w:val="24"/>
                <w:highlight w:val="none"/>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32" w:type="dxa"/>
            <w:shd w:val="clear" w:color="auto" w:fill="F2F2F2"/>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序号</w:t>
            </w:r>
          </w:p>
        </w:tc>
        <w:tc>
          <w:tcPr>
            <w:tcW w:w="7395" w:type="dxa"/>
            <w:shd w:val="clear" w:color="auto" w:fill="F2F2F2"/>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条款要求</w:t>
            </w:r>
          </w:p>
        </w:tc>
        <w:tc>
          <w:tcPr>
            <w:tcW w:w="1281" w:type="dxa"/>
            <w:shd w:val="clear" w:color="auto" w:fill="F2F2F2"/>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完全理解并接受对合格供应商、合格的产品、工程和服务要求</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2</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完全理解并接受对供应商的各项须知、规约要求和责任义务</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3</w:t>
            </w:r>
          </w:p>
        </w:tc>
        <w:tc>
          <w:tcPr>
            <w:tcW w:w="7395"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同意接受合同范本所列述的各项条款</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4</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同意按本项目要求缴付相关款项</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5</w:t>
            </w:r>
          </w:p>
        </w:tc>
        <w:tc>
          <w:tcPr>
            <w:tcW w:w="7395"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采购文件中的全部商务条款均能完全响应</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6</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同意接受采购人发布的补充通知中各项商务要求（如有）</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7</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同意采购人以任何形式对我方提供的商务部分内容的真实性和有效性进行公开审查验证</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8</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磋商有效期接受并同意磋商文件的要求。</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9</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报价内容均涵盖报价要求之一切费用和伴随服务</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10</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完全响应磋商文件以上除外的全部商务条款（含“★”项</w:t>
            </w:r>
            <w:r>
              <w:rPr>
                <w:rFonts w:hint="eastAsia" w:ascii="宋体" w:hAnsi="宋体" w:cs="宋体"/>
                <w:b/>
                <w:szCs w:val="24"/>
                <w:highlight w:val="none"/>
                <w:lang w:eastAsia="zh-CN"/>
              </w:rPr>
              <w:t>（</w:t>
            </w:r>
            <w:r>
              <w:rPr>
                <w:rFonts w:hint="eastAsia" w:ascii="宋体" w:hAnsi="宋体" w:cs="宋体"/>
                <w:b/>
                <w:szCs w:val="24"/>
                <w:highlight w:val="none"/>
                <w:lang w:val="en-US" w:eastAsia="zh-CN"/>
              </w:rPr>
              <w:t>如有</w:t>
            </w:r>
            <w:r>
              <w:rPr>
                <w:rFonts w:hint="eastAsia" w:ascii="宋体" w:hAnsi="宋体" w:cs="宋体"/>
                <w:b/>
                <w:szCs w:val="24"/>
                <w:highlight w:val="none"/>
                <w:lang w:eastAsia="zh-CN"/>
              </w:rPr>
              <w:t>）</w:t>
            </w:r>
            <w:r>
              <w:rPr>
                <w:rFonts w:hint="eastAsia" w:ascii="宋体" w:hAnsi="宋体" w:eastAsia="宋体" w:cs="宋体"/>
                <w:b/>
                <w:szCs w:val="24"/>
                <w:highlight w:val="none"/>
              </w:rPr>
              <w:t>）</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64"/>
              <w:keepNext w:val="0"/>
              <w:adjustRightInd/>
              <w:spacing w:before="0" w:after="0" w:line="360" w:lineRule="auto"/>
              <w:jc w:val="left"/>
              <w:textAlignment w:val="auto"/>
              <w:rPr>
                <w:rFonts w:hint="eastAsia" w:ascii="宋体" w:hAnsi="宋体" w:eastAsia="宋体" w:cs="宋体"/>
                <w:b/>
                <w:spacing w:val="0"/>
                <w:kern w:val="2"/>
                <w:szCs w:val="24"/>
                <w:highlight w:val="none"/>
              </w:rPr>
            </w:pPr>
            <w:r>
              <w:rPr>
                <w:rFonts w:hint="eastAsia" w:ascii="宋体" w:hAnsi="宋体" w:eastAsia="宋体" w:cs="宋体"/>
                <w:b/>
                <w:spacing w:val="0"/>
                <w:kern w:val="2"/>
                <w:szCs w:val="24"/>
                <w:highlight w:val="none"/>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9708" w:type="dxa"/>
            <w:gridSpan w:val="3"/>
            <w:vAlign w:val="center"/>
          </w:tcPr>
          <w:p>
            <w:pPr>
              <w:pStyle w:val="64"/>
              <w:keepNext w:val="0"/>
              <w:adjustRightInd/>
              <w:spacing w:before="0" w:after="0" w:line="360" w:lineRule="auto"/>
              <w:jc w:val="left"/>
              <w:textAlignment w:val="auto"/>
              <w:rPr>
                <w:rFonts w:hint="eastAsia" w:ascii="宋体" w:hAnsi="宋体" w:eastAsia="宋体" w:cs="宋体"/>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64"/>
              <w:keepNext w:val="0"/>
              <w:adjustRightInd/>
              <w:spacing w:before="0" w:after="0" w:line="360" w:lineRule="auto"/>
              <w:jc w:val="left"/>
              <w:textAlignment w:val="auto"/>
              <w:rPr>
                <w:rFonts w:hint="eastAsia" w:ascii="宋体" w:hAnsi="宋体" w:eastAsia="宋体" w:cs="宋体"/>
                <w:b/>
                <w:spacing w:val="0"/>
                <w:kern w:val="2"/>
                <w:szCs w:val="24"/>
                <w:highlight w:val="none"/>
              </w:rPr>
            </w:pPr>
            <w:r>
              <w:rPr>
                <w:rFonts w:hint="eastAsia" w:ascii="宋体" w:hAnsi="宋体" w:eastAsia="宋体" w:cs="宋体"/>
                <w:b/>
                <w:spacing w:val="0"/>
                <w:kern w:val="2"/>
                <w:szCs w:val="24"/>
                <w:highlight w:val="none"/>
              </w:rPr>
              <w:t>三、不同意公开的商务部分内容（如有）：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708" w:type="dxa"/>
            <w:gridSpan w:val="3"/>
            <w:vAlign w:val="center"/>
          </w:tcPr>
          <w:p>
            <w:pPr>
              <w:pStyle w:val="64"/>
              <w:keepNext w:val="0"/>
              <w:adjustRightInd/>
              <w:spacing w:before="0" w:after="0" w:line="360" w:lineRule="auto"/>
              <w:jc w:val="left"/>
              <w:textAlignment w:val="auto"/>
              <w:rPr>
                <w:rFonts w:hint="eastAsia" w:ascii="宋体" w:hAnsi="宋体" w:eastAsia="宋体" w:cs="宋体"/>
                <w:spacing w:val="0"/>
                <w:kern w:val="2"/>
                <w:szCs w:val="24"/>
                <w:highlight w:val="none"/>
              </w:rPr>
            </w:pPr>
          </w:p>
        </w:tc>
      </w:tr>
    </w:tbl>
    <w:p>
      <w:pPr>
        <w:spacing w:line="360" w:lineRule="auto"/>
        <w:rPr>
          <w:rFonts w:hint="eastAsia" w:ascii="宋体" w:hAnsi="宋体" w:eastAsia="宋体" w:cs="宋体"/>
          <w:b/>
          <w:szCs w:val="24"/>
          <w:highlight w:val="none"/>
          <w:u w:val="double"/>
        </w:rPr>
      </w:pPr>
    </w:p>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填表要求：</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如响应，请在“是否响应”栏内打“√”视为响应；</w:t>
      </w:r>
    </w:p>
    <w:p>
      <w:pPr>
        <w:tabs>
          <w:tab w:val="left" w:pos="540"/>
        </w:tabs>
        <w:snapToGrid w:val="0"/>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2.  如偏离，请在“是否响应”栏内打“×”视为偏离，并在“商务条款偏离情况说明”栏内扼要说明偏离情况；</w:t>
      </w:r>
    </w:p>
    <w:p>
      <w:pPr>
        <w:tabs>
          <w:tab w:val="left" w:pos="540"/>
        </w:tabs>
        <w:snapToGrid w:val="0"/>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3.  如未按规定填写本表或在“是否响应”栏留空，将视为负偏离，且有可能导致供应商的磋商无效，最终以磋商小组确定为准；</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4.  本文件中有“★”标注项为不可负偏离(劣于)的重要项</w:t>
      </w:r>
      <w:r>
        <w:rPr>
          <w:rFonts w:hint="eastAsia" w:ascii="宋体" w:hAnsi="宋体" w:cs="宋体"/>
          <w:szCs w:val="24"/>
          <w:highlight w:val="none"/>
          <w:lang w:val="en-US" w:eastAsia="zh-CN"/>
        </w:rPr>
        <w:t>(如有）</w:t>
      </w:r>
      <w:r>
        <w:rPr>
          <w:rFonts w:hint="eastAsia" w:ascii="宋体" w:hAnsi="宋体" w:eastAsia="宋体" w:cs="宋体"/>
          <w:szCs w:val="24"/>
          <w:highlight w:val="none"/>
          <w:lang w:val="en-GB"/>
        </w:rPr>
        <w:t>；</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5.  此表内容必须与实施方案中所介绍的内容一致；</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6.  本表内容不得擅自修改。</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pStyle w:val="5"/>
        <w:spacing w:after="156" w:afterLines="50" w:line="360" w:lineRule="auto"/>
        <w:ind w:left="720"/>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4.2 供应商综合概况</w:t>
      </w:r>
    </w:p>
    <w:tbl>
      <w:tblPr>
        <w:tblStyle w:val="44"/>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825"/>
        <w:gridCol w:w="1671"/>
        <w:gridCol w:w="267"/>
        <w:gridCol w:w="1195"/>
        <w:gridCol w:w="467"/>
        <w:gridCol w:w="64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单位名称</w:t>
            </w:r>
          </w:p>
        </w:tc>
        <w:tc>
          <w:tcPr>
            <w:tcW w:w="8080" w:type="dxa"/>
            <w:gridSpan w:val="7"/>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地    址</w:t>
            </w:r>
          </w:p>
        </w:tc>
        <w:tc>
          <w:tcPr>
            <w:tcW w:w="4958" w:type="dxa"/>
            <w:gridSpan w:val="4"/>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邮 编</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法人代表</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法人代表</w:t>
            </w:r>
          </w:p>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身份证号码</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联系电话</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业务联系人</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业务联系人</w:t>
            </w:r>
          </w:p>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身份证号码</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职 务</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电    话</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手机</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传 真</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财务联系人</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财务联系人</w:t>
            </w:r>
          </w:p>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身份证号码</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职 务</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电    话</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手机</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传 真</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主营业务介绍</w:t>
            </w:r>
          </w:p>
        </w:tc>
        <w:tc>
          <w:tcPr>
            <w:tcW w:w="8080" w:type="dxa"/>
            <w:gridSpan w:val="7"/>
            <w:vAlign w:val="center"/>
          </w:tcPr>
          <w:p>
            <w:pPr>
              <w:widowControl/>
              <w:spacing w:line="360" w:lineRule="auto"/>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718" w:type="dxa"/>
            <w:vMerge w:val="restart"/>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单位概况</w:t>
            </w:r>
          </w:p>
        </w:tc>
        <w:tc>
          <w:tcPr>
            <w:tcW w:w="1825"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注册资本（万元）</w:t>
            </w:r>
          </w:p>
        </w:tc>
        <w:tc>
          <w:tcPr>
            <w:tcW w:w="1938" w:type="dxa"/>
            <w:gridSpan w:val="2"/>
            <w:vAlign w:val="center"/>
          </w:tcPr>
          <w:p>
            <w:pPr>
              <w:widowControl/>
              <w:spacing w:line="360" w:lineRule="auto"/>
              <w:jc w:val="right"/>
              <w:rPr>
                <w:rFonts w:hint="eastAsia" w:ascii="宋体" w:hAnsi="宋体" w:eastAsia="宋体" w:cs="宋体"/>
                <w:kern w:val="0"/>
                <w:szCs w:val="24"/>
                <w:highlight w:val="none"/>
              </w:rPr>
            </w:pPr>
          </w:p>
        </w:tc>
        <w:tc>
          <w:tcPr>
            <w:tcW w:w="1662"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占地面积（M</w:t>
            </w:r>
            <w:r>
              <w:rPr>
                <w:rFonts w:hint="eastAsia" w:ascii="宋体" w:hAnsi="宋体" w:eastAsia="宋体" w:cs="宋体"/>
                <w:b/>
                <w:kern w:val="0"/>
                <w:szCs w:val="24"/>
                <w:highlight w:val="none"/>
                <w:vertAlign w:val="superscript"/>
              </w:rPr>
              <w:t>2</w:t>
            </w:r>
            <w:r>
              <w:rPr>
                <w:rFonts w:hint="eastAsia" w:ascii="宋体" w:hAnsi="宋体" w:eastAsia="宋体" w:cs="宋体"/>
                <w:b/>
                <w:kern w:val="0"/>
                <w:szCs w:val="24"/>
                <w:highlight w:val="none"/>
              </w:rPr>
              <w:t>）</w:t>
            </w:r>
          </w:p>
        </w:tc>
        <w:tc>
          <w:tcPr>
            <w:tcW w:w="2655" w:type="dxa"/>
            <w:gridSpan w:val="2"/>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718" w:type="dxa"/>
            <w:vMerge w:val="continue"/>
            <w:vAlign w:val="center"/>
          </w:tcPr>
          <w:p>
            <w:pPr>
              <w:widowControl/>
              <w:spacing w:line="360" w:lineRule="auto"/>
              <w:jc w:val="center"/>
              <w:rPr>
                <w:rFonts w:hint="eastAsia" w:ascii="宋体" w:hAnsi="宋体" w:eastAsia="宋体" w:cs="宋体"/>
                <w:b/>
                <w:kern w:val="0"/>
                <w:szCs w:val="24"/>
                <w:highlight w:val="none"/>
              </w:rPr>
            </w:pPr>
          </w:p>
        </w:tc>
        <w:tc>
          <w:tcPr>
            <w:tcW w:w="1825"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职工总数（人）</w:t>
            </w:r>
          </w:p>
        </w:tc>
        <w:tc>
          <w:tcPr>
            <w:tcW w:w="1938" w:type="dxa"/>
            <w:gridSpan w:val="2"/>
            <w:vAlign w:val="center"/>
          </w:tcPr>
          <w:p>
            <w:pPr>
              <w:widowControl/>
              <w:spacing w:line="360" w:lineRule="auto"/>
              <w:jc w:val="right"/>
              <w:rPr>
                <w:rFonts w:hint="eastAsia" w:ascii="宋体" w:hAnsi="宋体" w:eastAsia="宋体" w:cs="宋体"/>
                <w:kern w:val="0"/>
                <w:szCs w:val="24"/>
                <w:highlight w:val="none"/>
              </w:rPr>
            </w:pPr>
          </w:p>
        </w:tc>
        <w:tc>
          <w:tcPr>
            <w:tcW w:w="1662"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建筑面积（M</w:t>
            </w:r>
            <w:r>
              <w:rPr>
                <w:rFonts w:hint="eastAsia" w:ascii="宋体" w:hAnsi="宋体" w:eastAsia="宋体" w:cs="宋体"/>
                <w:b/>
                <w:kern w:val="0"/>
                <w:szCs w:val="24"/>
                <w:highlight w:val="none"/>
                <w:vertAlign w:val="superscript"/>
              </w:rPr>
              <w:t>2</w:t>
            </w:r>
            <w:r>
              <w:rPr>
                <w:rFonts w:hint="eastAsia" w:ascii="宋体" w:hAnsi="宋体" w:eastAsia="宋体" w:cs="宋体"/>
                <w:b/>
                <w:kern w:val="0"/>
                <w:szCs w:val="24"/>
                <w:highlight w:val="none"/>
              </w:rPr>
              <w:t>）</w:t>
            </w:r>
          </w:p>
        </w:tc>
        <w:tc>
          <w:tcPr>
            <w:tcW w:w="2655" w:type="dxa"/>
            <w:gridSpan w:val="2"/>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 w:hRule="atLeast"/>
          <w:jc w:val="center"/>
        </w:trPr>
        <w:tc>
          <w:tcPr>
            <w:tcW w:w="1718"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服务机构</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（最接近采购人的地址）</w:t>
            </w:r>
          </w:p>
        </w:tc>
        <w:tc>
          <w:tcPr>
            <w:tcW w:w="8080" w:type="dxa"/>
            <w:gridSpan w:val="7"/>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机构名称：</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负 责 人：</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服务机构性质：企业自有 /委托/ 合作代理</w:t>
            </w:r>
          </w:p>
          <w:p>
            <w:pPr>
              <w:spacing w:line="360" w:lineRule="auto"/>
              <w:jc w:val="left"/>
              <w:rPr>
                <w:rFonts w:hint="eastAsia" w:ascii="宋体" w:hAnsi="宋体" w:eastAsia="宋体" w:cs="宋体"/>
                <w:kern w:val="0"/>
                <w:szCs w:val="24"/>
                <w:highlight w:val="none"/>
              </w:rPr>
            </w:pPr>
            <w:r>
              <w:rPr>
                <w:rFonts w:hint="eastAsia" w:ascii="宋体" w:hAnsi="宋体" w:eastAsia="宋体" w:cs="宋体"/>
                <w:kern w:val="0"/>
                <w:szCs w:val="24"/>
                <w:highlight w:val="none"/>
              </w:rPr>
              <w:t>联系电话：</w:t>
            </w:r>
          </w:p>
          <w:p>
            <w:pPr>
              <w:spacing w:line="360" w:lineRule="auto"/>
              <w:rPr>
                <w:rFonts w:hint="eastAsia" w:ascii="宋体" w:hAnsi="宋体" w:eastAsia="宋体" w:cs="宋体"/>
                <w:szCs w:val="24"/>
                <w:highlight w:val="none"/>
              </w:rPr>
            </w:pPr>
            <w:r>
              <w:rPr>
                <w:rFonts w:hint="eastAsia" w:ascii="宋体" w:hAnsi="宋体" w:eastAsia="宋体" w:cs="宋体"/>
                <w:kern w:val="0"/>
                <w:szCs w:val="24"/>
                <w:highlight w:val="none"/>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6" w:hRule="atLeast"/>
          <w:jc w:val="center"/>
        </w:trPr>
        <w:tc>
          <w:tcPr>
            <w:tcW w:w="1718"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单位简介及机构设置</w:t>
            </w:r>
          </w:p>
        </w:tc>
        <w:tc>
          <w:tcPr>
            <w:tcW w:w="8080" w:type="dxa"/>
            <w:gridSpan w:val="7"/>
            <w:vAlign w:val="center"/>
          </w:tcPr>
          <w:p>
            <w:p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本项说明（本说明文字在填表时可删除）：</w:t>
            </w:r>
          </w:p>
          <w:p>
            <w:pPr>
              <w:tabs>
                <w:tab w:val="left" w:pos="540"/>
              </w:tabs>
              <w:snapToGrid w:val="0"/>
              <w:spacing w:line="360" w:lineRule="auto"/>
              <w:ind w:left="240" w:hanging="240" w:hangingChars="100"/>
              <w:rPr>
                <w:rFonts w:hint="eastAsia" w:ascii="宋体" w:hAnsi="宋体" w:eastAsia="宋体" w:cs="宋体"/>
                <w:szCs w:val="24"/>
                <w:highlight w:val="none"/>
                <w:lang w:val="en-GB"/>
              </w:rPr>
            </w:pPr>
            <w:r>
              <w:rPr>
                <w:rFonts w:hint="eastAsia" w:ascii="宋体" w:hAnsi="宋体" w:eastAsia="宋体" w:cs="宋体"/>
                <w:szCs w:val="24"/>
                <w:highlight w:val="none"/>
                <w:lang w:val="en-GB"/>
              </w:rPr>
              <w:t>1.简要表述：企业性质、发展历程、组织结构及服务理念、主营业务、经营规模、技术力量、管理体系制度和监管机制等；</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2.若内容不够填写，可随表另附文字内容描述；</w:t>
            </w:r>
          </w:p>
          <w:p>
            <w:pPr>
              <w:spacing w:line="360" w:lineRule="auto"/>
              <w:ind w:left="240" w:hanging="240" w:hangingChars="100"/>
              <w:rPr>
                <w:rFonts w:hint="eastAsia" w:ascii="宋体" w:hAnsi="宋体" w:eastAsia="宋体" w:cs="宋体"/>
                <w:szCs w:val="24"/>
                <w:highlight w:val="none"/>
              </w:rPr>
            </w:pPr>
            <w:r>
              <w:rPr>
                <w:rFonts w:hint="eastAsia" w:ascii="宋体" w:hAnsi="宋体" w:eastAsia="宋体" w:cs="宋体"/>
                <w:szCs w:val="24"/>
                <w:highlight w:val="none"/>
                <w:lang w:val="en-GB"/>
              </w:rPr>
              <w:t>3.自述内容必须充分体现企业现阶段的发展情况，体现出企业管理特有的个性化、特色化和差异化管理措施等。</w:t>
            </w:r>
          </w:p>
        </w:tc>
      </w:tr>
    </w:tbl>
    <w:p>
      <w:pPr>
        <w:spacing w:line="360" w:lineRule="auto"/>
        <w:rPr>
          <w:rFonts w:hint="eastAsia" w:ascii="宋体" w:hAnsi="宋体" w:eastAsia="宋体" w:cs="宋体"/>
          <w:szCs w:val="24"/>
          <w:highlight w:val="none"/>
          <w:lang w:val="en-GB"/>
        </w:rPr>
      </w:pPr>
    </w:p>
    <w:p>
      <w:pPr>
        <w:spacing w:line="360" w:lineRule="auto"/>
        <w:rPr>
          <w:rFonts w:hint="eastAsia" w:ascii="宋体" w:hAnsi="宋体" w:eastAsia="宋体" w:cs="宋体"/>
          <w:szCs w:val="24"/>
          <w:highlight w:val="none"/>
          <w:lang w:val="en-GB"/>
        </w:rPr>
      </w:pPr>
    </w:p>
    <w:p>
      <w:pPr>
        <w:pStyle w:val="5"/>
        <w:spacing w:after="156" w:afterLines="50" w:line="360" w:lineRule="auto"/>
        <w:ind w:left="720"/>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4.3 供应商所获资质、荣誉及其他证书的情况</w:t>
      </w:r>
    </w:p>
    <w:tbl>
      <w:tblPr>
        <w:tblStyle w:val="44"/>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696"/>
        <w:gridCol w:w="2126"/>
        <w:gridCol w:w="198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7"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3696"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资质、荣誉及其他证书名称</w:t>
            </w:r>
          </w:p>
        </w:tc>
        <w:tc>
          <w:tcPr>
            <w:tcW w:w="2126" w:type="dxa"/>
            <w:shd w:val="clear" w:color="auto" w:fill="F3F3F3"/>
            <w:vAlign w:val="center"/>
          </w:tcPr>
          <w:p>
            <w:pPr>
              <w:tabs>
                <w:tab w:val="left" w:pos="540"/>
              </w:tabs>
              <w:spacing w:line="360" w:lineRule="auto"/>
              <w:ind w:left="-74" w:leftChars="-31" w:right="-74" w:rightChars="-31"/>
              <w:jc w:val="center"/>
              <w:rPr>
                <w:rFonts w:hint="eastAsia" w:ascii="宋体" w:hAnsi="宋体" w:eastAsia="宋体" w:cs="宋体"/>
                <w:b/>
                <w:szCs w:val="24"/>
                <w:highlight w:val="none"/>
              </w:rPr>
            </w:pPr>
            <w:r>
              <w:rPr>
                <w:rFonts w:hint="eastAsia" w:ascii="宋体" w:hAnsi="宋体" w:eastAsia="宋体" w:cs="宋体"/>
                <w:b/>
                <w:szCs w:val="24"/>
                <w:highlight w:val="none"/>
              </w:rPr>
              <w:t>发证日期/有效期</w:t>
            </w:r>
          </w:p>
        </w:tc>
        <w:tc>
          <w:tcPr>
            <w:tcW w:w="1985"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发证单位</w:t>
            </w:r>
          </w:p>
        </w:tc>
        <w:tc>
          <w:tcPr>
            <w:tcW w:w="1090"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rPr>
            </w:pP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填表说明及要求，及本表附件（须附在本表格之后）：</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请在此表内填写供应商所获资质、荣誉及其他证书情况，并附上所属之证明文件；</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证明材料内容请参照本项目的评审子项要求，否则在评审时该项证明材料无效；</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3.  在“供应商资格性证明材料”中已填写的项目不需在此表中填写；</w:t>
      </w:r>
    </w:p>
    <w:p>
      <w:pPr>
        <w:tabs>
          <w:tab w:val="left" w:pos="540"/>
        </w:tabs>
        <w:snapToGrid w:val="0"/>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4.  证书有效期要求：以上证书均须在有效期内，如证书设有有效期的，有效期要求不少于磋商当日或已办理延期手续；如证书没有设置有效期要求的，视为长期有效。</w:t>
      </w:r>
    </w:p>
    <w:p>
      <w:pPr>
        <w:tabs>
          <w:tab w:val="left" w:pos="540"/>
        </w:tabs>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lang w:val="en-GB"/>
        </w:rPr>
        <w:t xml:space="preserve">5.  </w:t>
      </w:r>
      <w:r>
        <w:rPr>
          <w:rFonts w:hint="eastAsia" w:ascii="宋体" w:hAnsi="宋体" w:eastAsia="宋体" w:cs="宋体"/>
          <w:szCs w:val="24"/>
          <w:highlight w:val="none"/>
          <w:u w:val="wave"/>
          <w:lang w:val="en-GB"/>
        </w:rPr>
        <w:t>证明材料（复印件）均须加盖供应商单位公章。</w:t>
      </w:r>
    </w:p>
    <w:p>
      <w:pPr>
        <w:spacing w:line="360" w:lineRule="auto"/>
        <w:rPr>
          <w:rFonts w:hint="eastAsia" w:ascii="宋体" w:hAnsi="宋体" w:eastAsia="宋体" w:cs="宋体"/>
          <w:szCs w:val="24"/>
          <w:highlight w:val="none"/>
        </w:rPr>
      </w:pPr>
    </w:p>
    <w:p>
      <w:pPr>
        <w:pStyle w:val="5"/>
        <w:spacing w:after="156" w:afterLines="50" w:line="360" w:lineRule="auto"/>
        <w:ind w:left="720"/>
        <w:jc w:val="center"/>
        <w:rPr>
          <w:rFonts w:hint="eastAsia" w:ascii="宋体" w:hAnsi="宋体" w:eastAsia="宋体" w:cs="宋体"/>
          <w:szCs w:val="24"/>
          <w:highlight w:val="none"/>
        </w:rPr>
      </w:pPr>
      <w:r>
        <w:rPr>
          <w:rFonts w:hint="eastAsia" w:ascii="宋体" w:hAnsi="宋体" w:eastAsia="宋体" w:cs="宋体"/>
          <w:szCs w:val="24"/>
          <w:highlight w:val="none"/>
        </w:rPr>
        <w:t>4.4 项目业绩介绍</w:t>
      </w:r>
    </w:p>
    <w:tbl>
      <w:tblPr>
        <w:tblStyle w:val="44"/>
        <w:tblW w:w="10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17"/>
        <w:gridCol w:w="1440"/>
        <w:gridCol w:w="1264"/>
        <w:gridCol w:w="977"/>
        <w:gridCol w:w="978"/>
        <w:gridCol w:w="167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序号</w:t>
            </w:r>
          </w:p>
        </w:tc>
        <w:tc>
          <w:tcPr>
            <w:tcW w:w="1917"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项目名称</w:t>
            </w:r>
          </w:p>
        </w:tc>
        <w:tc>
          <w:tcPr>
            <w:tcW w:w="1440"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项目内容</w:t>
            </w:r>
          </w:p>
        </w:tc>
        <w:tc>
          <w:tcPr>
            <w:tcW w:w="1264"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合同金额（万元）</w:t>
            </w:r>
          </w:p>
        </w:tc>
        <w:tc>
          <w:tcPr>
            <w:tcW w:w="977"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签订</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时间</w:t>
            </w:r>
          </w:p>
        </w:tc>
        <w:tc>
          <w:tcPr>
            <w:tcW w:w="978"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验收</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时间</w:t>
            </w:r>
          </w:p>
        </w:tc>
        <w:tc>
          <w:tcPr>
            <w:tcW w:w="1672"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客户单位名称联系人及电话</w:t>
            </w:r>
          </w:p>
        </w:tc>
        <w:tc>
          <w:tcPr>
            <w:tcW w:w="1194" w:type="dxa"/>
            <w:shd w:val="clear" w:color="auto" w:fill="F3F3F3"/>
          </w:tcPr>
          <w:p>
            <w:pPr>
              <w:spacing w:line="360" w:lineRule="auto"/>
              <w:jc w:val="center"/>
              <w:rPr>
                <w:rFonts w:hint="eastAsia" w:ascii="宋体" w:hAnsi="宋体" w:eastAsia="宋体" w:cs="宋体"/>
                <w:b/>
                <w:bCs/>
                <w:szCs w:val="24"/>
                <w:highlight w:val="none"/>
              </w:rPr>
            </w:pPr>
            <w:r>
              <w:rPr>
                <w:rFonts w:hint="eastAsia" w:ascii="宋体" w:hAnsi="宋体" w:eastAsia="宋体" w:cs="宋体"/>
                <w:b/>
                <w:szCs w:val="24"/>
                <w:highlight w:val="none"/>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1917" w:type="dxa"/>
            <w:vAlign w:val="center"/>
          </w:tcPr>
          <w:p>
            <w:pPr>
              <w:spacing w:line="360" w:lineRule="auto"/>
              <w:jc w:val="center"/>
              <w:rPr>
                <w:rFonts w:hint="eastAsia" w:ascii="宋体" w:hAnsi="宋体" w:eastAsia="宋体" w:cs="宋体"/>
                <w:szCs w:val="24"/>
                <w:highlight w:val="none"/>
              </w:rPr>
            </w:pPr>
          </w:p>
        </w:tc>
        <w:tc>
          <w:tcPr>
            <w:tcW w:w="1440" w:type="dxa"/>
            <w:vAlign w:val="center"/>
          </w:tcPr>
          <w:p>
            <w:pPr>
              <w:spacing w:line="360" w:lineRule="auto"/>
              <w:jc w:val="center"/>
              <w:rPr>
                <w:rFonts w:hint="eastAsia" w:ascii="宋体" w:hAnsi="宋体" w:eastAsia="宋体" w:cs="宋体"/>
                <w:szCs w:val="24"/>
                <w:highlight w:val="none"/>
              </w:rPr>
            </w:pPr>
          </w:p>
        </w:tc>
        <w:tc>
          <w:tcPr>
            <w:tcW w:w="1264" w:type="dxa"/>
            <w:vAlign w:val="center"/>
          </w:tcPr>
          <w:p>
            <w:pPr>
              <w:spacing w:line="360" w:lineRule="auto"/>
              <w:jc w:val="center"/>
              <w:rPr>
                <w:rFonts w:hint="eastAsia" w:ascii="宋体" w:hAnsi="宋体" w:eastAsia="宋体" w:cs="宋体"/>
                <w:szCs w:val="24"/>
                <w:highlight w:val="none"/>
              </w:rPr>
            </w:pPr>
          </w:p>
        </w:tc>
        <w:tc>
          <w:tcPr>
            <w:tcW w:w="977" w:type="dxa"/>
            <w:vAlign w:val="center"/>
          </w:tcPr>
          <w:p>
            <w:pPr>
              <w:spacing w:line="360" w:lineRule="auto"/>
              <w:jc w:val="center"/>
              <w:rPr>
                <w:rFonts w:hint="eastAsia" w:ascii="宋体" w:hAnsi="宋体" w:eastAsia="宋体" w:cs="宋体"/>
                <w:szCs w:val="24"/>
                <w:highlight w:val="none"/>
              </w:rPr>
            </w:pPr>
          </w:p>
        </w:tc>
        <w:tc>
          <w:tcPr>
            <w:tcW w:w="978" w:type="dxa"/>
            <w:vAlign w:val="center"/>
          </w:tcPr>
          <w:p>
            <w:pPr>
              <w:spacing w:line="360" w:lineRule="auto"/>
              <w:jc w:val="center"/>
              <w:rPr>
                <w:rFonts w:hint="eastAsia" w:ascii="宋体" w:hAnsi="宋体" w:eastAsia="宋体" w:cs="宋体"/>
                <w:szCs w:val="24"/>
                <w:highlight w:val="none"/>
              </w:rPr>
            </w:pPr>
          </w:p>
        </w:tc>
        <w:tc>
          <w:tcPr>
            <w:tcW w:w="1672" w:type="dxa"/>
            <w:vAlign w:val="center"/>
          </w:tcPr>
          <w:p>
            <w:pPr>
              <w:spacing w:line="360" w:lineRule="auto"/>
              <w:jc w:val="center"/>
              <w:rPr>
                <w:rFonts w:hint="eastAsia" w:ascii="宋体" w:hAnsi="宋体" w:eastAsia="宋体" w:cs="宋体"/>
                <w:szCs w:val="24"/>
                <w:highlight w:val="none"/>
              </w:rPr>
            </w:pPr>
          </w:p>
        </w:tc>
        <w:tc>
          <w:tcPr>
            <w:tcW w:w="1194" w:type="dxa"/>
          </w:tcPr>
          <w:p>
            <w:pPr>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1917" w:type="dxa"/>
            <w:vAlign w:val="center"/>
          </w:tcPr>
          <w:p>
            <w:pPr>
              <w:spacing w:line="360" w:lineRule="auto"/>
              <w:jc w:val="center"/>
              <w:rPr>
                <w:rFonts w:hint="eastAsia" w:ascii="宋体" w:hAnsi="宋体" w:eastAsia="宋体" w:cs="宋体"/>
                <w:szCs w:val="24"/>
                <w:highlight w:val="none"/>
              </w:rPr>
            </w:pPr>
          </w:p>
        </w:tc>
        <w:tc>
          <w:tcPr>
            <w:tcW w:w="1440" w:type="dxa"/>
            <w:vAlign w:val="center"/>
          </w:tcPr>
          <w:p>
            <w:pPr>
              <w:spacing w:line="360" w:lineRule="auto"/>
              <w:jc w:val="center"/>
              <w:rPr>
                <w:rFonts w:hint="eastAsia" w:ascii="宋体" w:hAnsi="宋体" w:eastAsia="宋体" w:cs="宋体"/>
                <w:szCs w:val="24"/>
                <w:highlight w:val="none"/>
              </w:rPr>
            </w:pPr>
          </w:p>
        </w:tc>
        <w:tc>
          <w:tcPr>
            <w:tcW w:w="1264" w:type="dxa"/>
            <w:vAlign w:val="center"/>
          </w:tcPr>
          <w:p>
            <w:pPr>
              <w:spacing w:line="360" w:lineRule="auto"/>
              <w:jc w:val="center"/>
              <w:rPr>
                <w:rFonts w:hint="eastAsia" w:ascii="宋体" w:hAnsi="宋体" w:eastAsia="宋体" w:cs="宋体"/>
                <w:szCs w:val="24"/>
                <w:highlight w:val="none"/>
              </w:rPr>
            </w:pPr>
          </w:p>
        </w:tc>
        <w:tc>
          <w:tcPr>
            <w:tcW w:w="977" w:type="dxa"/>
            <w:vAlign w:val="center"/>
          </w:tcPr>
          <w:p>
            <w:pPr>
              <w:spacing w:line="360" w:lineRule="auto"/>
              <w:jc w:val="center"/>
              <w:rPr>
                <w:rFonts w:hint="eastAsia" w:ascii="宋体" w:hAnsi="宋体" w:eastAsia="宋体" w:cs="宋体"/>
                <w:szCs w:val="24"/>
                <w:highlight w:val="none"/>
              </w:rPr>
            </w:pPr>
          </w:p>
        </w:tc>
        <w:tc>
          <w:tcPr>
            <w:tcW w:w="978" w:type="dxa"/>
            <w:vAlign w:val="center"/>
          </w:tcPr>
          <w:p>
            <w:pPr>
              <w:spacing w:line="360" w:lineRule="auto"/>
              <w:jc w:val="center"/>
              <w:rPr>
                <w:rFonts w:hint="eastAsia" w:ascii="宋体" w:hAnsi="宋体" w:eastAsia="宋体" w:cs="宋体"/>
                <w:szCs w:val="24"/>
                <w:highlight w:val="none"/>
              </w:rPr>
            </w:pPr>
          </w:p>
        </w:tc>
        <w:tc>
          <w:tcPr>
            <w:tcW w:w="1672" w:type="dxa"/>
            <w:vAlign w:val="center"/>
          </w:tcPr>
          <w:p>
            <w:pPr>
              <w:spacing w:line="360" w:lineRule="auto"/>
              <w:jc w:val="center"/>
              <w:rPr>
                <w:rFonts w:hint="eastAsia" w:ascii="宋体" w:hAnsi="宋体" w:eastAsia="宋体" w:cs="宋体"/>
                <w:szCs w:val="24"/>
                <w:highlight w:val="none"/>
              </w:rPr>
            </w:pPr>
          </w:p>
        </w:tc>
        <w:tc>
          <w:tcPr>
            <w:tcW w:w="1194" w:type="dxa"/>
          </w:tcPr>
          <w:p>
            <w:pPr>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1917" w:type="dxa"/>
            <w:vAlign w:val="center"/>
          </w:tcPr>
          <w:p>
            <w:pPr>
              <w:spacing w:line="360" w:lineRule="auto"/>
              <w:jc w:val="center"/>
              <w:rPr>
                <w:rFonts w:hint="eastAsia" w:ascii="宋体" w:hAnsi="宋体" w:eastAsia="宋体" w:cs="宋体"/>
                <w:szCs w:val="24"/>
                <w:highlight w:val="none"/>
              </w:rPr>
            </w:pPr>
          </w:p>
        </w:tc>
        <w:tc>
          <w:tcPr>
            <w:tcW w:w="1440" w:type="dxa"/>
            <w:vAlign w:val="center"/>
          </w:tcPr>
          <w:p>
            <w:pPr>
              <w:spacing w:line="360" w:lineRule="auto"/>
              <w:jc w:val="center"/>
              <w:rPr>
                <w:rFonts w:hint="eastAsia" w:ascii="宋体" w:hAnsi="宋体" w:eastAsia="宋体" w:cs="宋体"/>
                <w:szCs w:val="24"/>
                <w:highlight w:val="none"/>
              </w:rPr>
            </w:pPr>
          </w:p>
        </w:tc>
        <w:tc>
          <w:tcPr>
            <w:tcW w:w="1264" w:type="dxa"/>
            <w:vAlign w:val="center"/>
          </w:tcPr>
          <w:p>
            <w:pPr>
              <w:spacing w:line="360" w:lineRule="auto"/>
              <w:jc w:val="center"/>
              <w:rPr>
                <w:rFonts w:hint="eastAsia" w:ascii="宋体" w:hAnsi="宋体" w:eastAsia="宋体" w:cs="宋体"/>
                <w:szCs w:val="24"/>
                <w:highlight w:val="none"/>
              </w:rPr>
            </w:pPr>
          </w:p>
        </w:tc>
        <w:tc>
          <w:tcPr>
            <w:tcW w:w="977" w:type="dxa"/>
            <w:vAlign w:val="center"/>
          </w:tcPr>
          <w:p>
            <w:pPr>
              <w:spacing w:line="360" w:lineRule="auto"/>
              <w:jc w:val="center"/>
              <w:rPr>
                <w:rFonts w:hint="eastAsia" w:ascii="宋体" w:hAnsi="宋体" w:eastAsia="宋体" w:cs="宋体"/>
                <w:szCs w:val="24"/>
                <w:highlight w:val="none"/>
              </w:rPr>
            </w:pPr>
          </w:p>
        </w:tc>
        <w:tc>
          <w:tcPr>
            <w:tcW w:w="978" w:type="dxa"/>
            <w:vAlign w:val="center"/>
          </w:tcPr>
          <w:p>
            <w:pPr>
              <w:spacing w:line="360" w:lineRule="auto"/>
              <w:jc w:val="center"/>
              <w:rPr>
                <w:rFonts w:hint="eastAsia" w:ascii="宋体" w:hAnsi="宋体" w:eastAsia="宋体" w:cs="宋体"/>
                <w:szCs w:val="24"/>
                <w:highlight w:val="none"/>
              </w:rPr>
            </w:pPr>
          </w:p>
        </w:tc>
        <w:tc>
          <w:tcPr>
            <w:tcW w:w="1672" w:type="dxa"/>
            <w:vAlign w:val="center"/>
          </w:tcPr>
          <w:p>
            <w:pPr>
              <w:spacing w:line="360" w:lineRule="auto"/>
              <w:jc w:val="center"/>
              <w:rPr>
                <w:rFonts w:hint="eastAsia" w:ascii="宋体" w:hAnsi="宋体" w:eastAsia="宋体" w:cs="宋体"/>
                <w:szCs w:val="24"/>
                <w:highlight w:val="none"/>
              </w:rPr>
            </w:pPr>
          </w:p>
        </w:tc>
        <w:tc>
          <w:tcPr>
            <w:tcW w:w="1194" w:type="dxa"/>
          </w:tcPr>
          <w:p>
            <w:pPr>
              <w:spacing w:line="360" w:lineRule="auto"/>
              <w:jc w:val="center"/>
              <w:rPr>
                <w:rFonts w:hint="eastAsia" w:ascii="宋体" w:hAnsi="宋体" w:eastAsia="宋体" w:cs="宋体"/>
                <w:szCs w:val="24"/>
                <w:highlight w:val="none"/>
              </w:rPr>
            </w:pP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填表说明及要求，本表附件（须附在本表格之后）：</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请在此表内填写供应商的业绩情况；</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所提交的证明材料内容请参照本项目的评审子项要求，否则在评审时该项证明材料无效；</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3.  每套业绩证明文件须按照以上列表的顺序在磋商响应文件中提供；</w:t>
      </w:r>
    </w:p>
    <w:p>
      <w:pPr>
        <w:tabs>
          <w:tab w:val="left" w:pos="540"/>
        </w:tabs>
        <w:snapToGrid w:val="0"/>
        <w:spacing w:line="360" w:lineRule="auto"/>
        <w:rPr>
          <w:rFonts w:hint="eastAsia" w:ascii="宋体" w:hAnsi="宋体" w:eastAsia="宋体" w:cs="宋体"/>
          <w:szCs w:val="24"/>
          <w:highlight w:val="none"/>
          <w:u w:val="wave"/>
          <w:lang w:val="en-GB"/>
        </w:rPr>
      </w:pPr>
      <w:r>
        <w:rPr>
          <w:rFonts w:hint="eastAsia" w:ascii="宋体" w:hAnsi="宋体" w:eastAsia="宋体" w:cs="宋体"/>
          <w:szCs w:val="24"/>
          <w:highlight w:val="none"/>
          <w:lang w:val="en-GB"/>
        </w:rPr>
        <w:t xml:space="preserve">4.  </w:t>
      </w:r>
      <w:r>
        <w:rPr>
          <w:rFonts w:hint="eastAsia" w:ascii="宋体" w:hAnsi="宋体" w:eastAsia="宋体" w:cs="宋体"/>
          <w:szCs w:val="24"/>
          <w:highlight w:val="none"/>
          <w:u w:val="wave"/>
          <w:lang w:val="en-GB"/>
        </w:rPr>
        <w:t>证明材料（复印件）均须加盖供应商单位公章。</w:t>
      </w: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4.5 拟派项目组人员情况</w:t>
      </w:r>
    </w:p>
    <w:tbl>
      <w:tblPr>
        <w:tblStyle w:val="44"/>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146"/>
        <w:gridCol w:w="1329"/>
        <w:gridCol w:w="2822"/>
        <w:gridCol w:w="132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职责分工</w:t>
            </w:r>
          </w:p>
        </w:tc>
        <w:tc>
          <w:tcPr>
            <w:tcW w:w="1146"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姓名</w:t>
            </w:r>
          </w:p>
        </w:tc>
        <w:tc>
          <w:tcPr>
            <w:tcW w:w="1329"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职务/职称</w:t>
            </w:r>
          </w:p>
        </w:tc>
        <w:tc>
          <w:tcPr>
            <w:tcW w:w="2822"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曾主持/参与过的</w:t>
            </w:r>
          </w:p>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同类项目经历</w:t>
            </w:r>
          </w:p>
        </w:tc>
        <w:tc>
          <w:tcPr>
            <w:tcW w:w="1325" w:type="dxa"/>
            <w:shd w:val="clear" w:color="auto" w:fill="F3F3F3"/>
            <w:vAlign w:val="center"/>
          </w:tcPr>
          <w:p>
            <w:pPr>
              <w:adjustRightInd w:val="0"/>
              <w:snapToGrid w:val="0"/>
              <w:spacing w:line="360" w:lineRule="auto"/>
              <w:ind w:firstLine="12"/>
              <w:jc w:val="center"/>
              <w:rPr>
                <w:rFonts w:hint="eastAsia" w:ascii="宋体" w:hAnsi="宋体" w:eastAsia="宋体" w:cs="宋体"/>
                <w:b/>
                <w:szCs w:val="24"/>
                <w:highlight w:val="none"/>
              </w:rPr>
            </w:pPr>
            <w:r>
              <w:rPr>
                <w:rFonts w:hint="eastAsia" w:ascii="宋体" w:hAnsi="宋体" w:eastAsia="宋体" w:cs="宋体"/>
                <w:b/>
                <w:szCs w:val="24"/>
                <w:highlight w:val="none"/>
              </w:rPr>
              <w:t>联系电话</w:t>
            </w:r>
          </w:p>
          <w:p>
            <w:pPr>
              <w:adjustRightInd w:val="0"/>
              <w:snapToGrid w:val="0"/>
              <w:spacing w:line="360" w:lineRule="auto"/>
              <w:ind w:firstLine="12"/>
              <w:jc w:val="center"/>
              <w:rPr>
                <w:rFonts w:hint="eastAsia" w:ascii="宋体" w:hAnsi="宋体" w:eastAsia="宋体" w:cs="宋体"/>
                <w:b/>
                <w:szCs w:val="24"/>
                <w:highlight w:val="none"/>
              </w:rPr>
            </w:pPr>
            <w:r>
              <w:rPr>
                <w:rFonts w:hint="eastAsia" w:ascii="宋体" w:hAnsi="宋体" w:eastAsia="宋体" w:cs="宋体"/>
                <w:b/>
                <w:szCs w:val="24"/>
                <w:highlight w:val="none"/>
              </w:rPr>
              <w:t>手机</w:t>
            </w:r>
          </w:p>
        </w:tc>
        <w:tc>
          <w:tcPr>
            <w:tcW w:w="1139" w:type="dxa"/>
            <w:shd w:val="clear" w:color="auto" w:fill="F3F3F3"/>
            <w:vAlign w:val="center"/>
          </w:tcPr>
          <w:p>
            <w:pPr>
              <w:adjustRightInd w:val="0"/>
              <w:snapToGrid w:val="0"/>
              <w:spacing w:line="360" w:lineRule="auto"/>
              <w:ind w:firstLine="12"/>
              <w:jc w:val="center"/>
              <w:rPr>
                <w:rFonts w:hint="eastAsia" w:ascii="宋体" w:hAnsi="宋体" w:eastAsia="宋体" w:cs="宋体"/>
                <w:b/>
                <w:szCs w:val="24"/>
                <w:highlight w:val="none"/>
              </w:rPr>
            </w:pPr>
            <w:r>
              <w:rPr>
                <w:rFonts w:hint="eastAsia" w:ascii="宋体" w:hAnsi="宋体" w:eastAsia="宋体" w:cs="宋体"/>
                <w:b/>
                <w:szCs w:val="24"/>
                <w:highlight w:val="none"/>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pStyle w:val="64"/>
              <w:keepNext w:val="0"/>
              <w:snapToGrid w:val="0"/>
              <w:spacing w:before="0" w:after="0" w:line="360" w:lineRule="auto"/>
              <w:textAlignment w:val="auto"/>
              <w:rPr>
                <w:rFonts w:hint="eastAsia" w:ascii="宋体" w:hAnsi="宋体" w:eastAsia="宋体" w:cs="宋体"/>
                <w:spacing w:val="0"/>
                <w:kern w:val="2"/>
                <w:szCs w:val="24"/>
                <w:highlight w:val="none"/>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pStyle w:val="64"/>
              <w:keepNext w:val="0"/>
              <w:snapToGrid w:val="0"/>
              <w:spacing w:before="0" w:after="0" w:line="360" w:lineRule="auto"/>
              <w:textAlignment w:val="auto"/>
              <w:rPr>
                <w:rFonts w:hint="eastAsia" w:ascii="宋体" w:hAnsi="宋体" w:eastAsia="宋体" w:cs="宋体"/>
                <w:spacing w:val="0"/>
                <w:kern w:val="2"/>
                <w:szCs w:val="24"/>
                <w:highlight w:val="none"/>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pStyle w:val="64"/>
              <w:keepNext w:val="0"/>
              <w:snapToGrid w:val="0"/>
              <w:spacing w:before="0" w:after="0" w:line="360" w:lineRule="auto"/>
              <w:textAlignment w:val="auto"/>
              <w:rPr>
                <w:rFonts w:hint="eastAsia" w:ascii="宋体" w:hAnsi="宋体" w:eastAsia="宋体" w:cs="宋体"/>
                <w:spacing w:val="0"/>
                <w:kern w:val="2"/>
                <w:szCs w:val="24"/>
                <w:highlight w:val="none"/>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adjustRightInd w:val="0"/>
              <w:snapToGrid w:val="0"/>
              <w:spacing w:line="360" w:lineRule="auto"/>
              <w:jc w:val="center"/>
              <w:rPr>
                <w:rFonts w:hint="eastAsia" w:ascii="宋体" w:hAnsi="宋体" w:eastAsia="宋体" w:cs="宋体"/>
                <w:szCs w:val="24"/>
                <w:highlight w:val="none"/>
              </w:rPr>
            </w:pPr>
          </w:p>
        </w:tc>
        <w:tc>
          <w:tcPr>
            <w:tcW w:w="13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adjustRightInd w:val="0"/>
              <w:snapToGrid w:val="0"/>
              <w:spacing w:line="360" w:lineRule="auto"/>
              <w:jc w:val="center"/>
              <w:rPr>
                <w:rFonts w:hint="eastAsia" w:ascii="宋体" w:hAnsi="宋体" w:eastAsia="宋体" w:cs="宋体"/>
                <w:szCs w:val="24"/>
                <w:highlight w:val="none"/>
              </w:rPr>
            </w:pPr>
          </w:p>
        </w:tc>
        <w:tc>
          <w:tcPr>
            <w:tcW w:w="13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jc w:val="center"/>
              <w:rPr>
                <w:rFonts w:hint="eastAsia" w:ascii="宋体" w:hAnsi="宋体" w:eastAsia="宋体" w:cs="宋体"/>
                <w:szCs w:val="24"/>
                <w:highlight w:val="none"/>
              </w:rPr>
            </w:pP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填表说明及要求，本表附件（须附在本表格之后）：</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请在此表内填写拟派项目组人员情况；</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所提交的证明材料内容请参照本项目的评审子项要求，否则在评审时该项证明材料无效。</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3.  提供上述人员的资格证书（如有）复印件；</w:t>
      </w:r>
    </w:p>
    <w:p>
      <w:pPr>
        <w:tabs>
          <w:tab w:val="left" w:pos="540"/>
        </w:tabs>
        <w:snapToGrid w:val="0"/>
        <w:spacing w:line="360" w:lineRule="auto"/>
        <w:rPr>
          <w:rFonts w:hint="eastAsia" w:ascii="宋体" w:hAnsi="宋体" w:eastAsia="宋体" w:cs="宋体"/>
          <w:szCs w:val="24"/>
          <w:highlight w:val="none"/>
          <w:u w:val="wave"/>
          <w:lang w:val="en-GB"/>
        </w:rPr>
      </w:pPr>
      <w:r>
        <w:rPr>
          <w:rFonts w:hint="eastAsia" w:ascii="宋体" w:hAnsi="宋体" w:eastAsia="宋体" w:cs="宋体"/>
          <w:szCs w:val="24"/>
          <w:highlight w:val="none"/>
          <w:lang w:val="en-GB"/>
        </w:rPr>
        <w:t xml:space="preserve">4.  </w:t>
      </w:r>
      <w:r>
        <w:rPr>
          <w:rFonts w:hint="eastAsia" w:ascii="宋体" w:hAnsi="宋体" w:eastAsia="宋体" w:cs="宋体"/>
          <w:szCs w:val="24"/>
          <w:highlight w:val="none"/>
          <w:u w:val="wave"/>
          <w:lang w:val="en-GB"/>
        </w:rPr>
        <w:t>证明材料（复印件）均须加盖供应商单位公章。</w:t>
      </w: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4.6 其它承诺</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（注：供应商根据自身情况扼要叙述，其内容由供应商自拟)</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4.7 其它事项说明</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（注：供应商根据自身情况扼要叙述，其内容由供应商自拟)</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8"/>
          <w:szCs w:val="48"/>
          <w:highlight w:val="none"/>
        </w:rPr>
      </w:pPr>
      <w:bookmarkStart w:id="139" w:name="_Toc14935"/>
      <w:r>
        <w:rPr>
          <w:rFonts w:hint="eastAsia" w:ascii="宋体" w:hAnsi="宋体" w:eastAsia="宋体" w:cs="宋体"/>
          <w:sz w:val="48"/>
          <w:szCs w:val="48"/>
          <w:highlight w:val="none"/>
        </w:rPr>
        <w:t>第五章  技术部分</w:t>
      </w:r>
      <w:bookmarkEnd w:id="139"/>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5.1 技术条款差异说明表</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采购项目名称：</w:t>
      </w:r>
      <w:r>
        <w:rPr>
          <w:rFonts w:hint="eastAsia" w:ascii="宋体" w:hAnsi="宋体" w:cs="宋体"/>
          <w:szCs w:val="24"/>
          <w:highlight w:val="none"/>
          <w:lang w:eastAsia="zh-CN"/>
        </w:rPr>
        <w:t>佛山市公安局森林分局2022年购买警务辅助服务项目（第二次）</w:t>
      </w:r>
      <w:r>
        <w:rPr>
          <w:rFonts w:hint="eastAsia" w:ascii="宋体" w:hAnsi="宋体" w:eastAsia="宋体" w:cs="宋体"/>
          <w:szCs w:val="24"/>
          <w:highlight w:val="none"/>
        </w:rPr>
        <w:t xml:space="preserve"> </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采购项目编号：</w:t>
      </w:r>
      <w:r>
        <w:rPr>
          <w:rFonts w:hint="eastAsia" w:ascii="宋体" w:hAnsi="宋体" w:cs="宋体"/>
          <w:szCs w:val="24"/>
          <w:highlight w:val="none"/>
          <w:lang w:eastAsia="zh-CN"/>
        </w:rPr>
        <w:t>fsganb20211204</w:t>
      </w:r>
    </w:p>
    <w:tbl>
      <w:tblPr>
        <w:tblStyle w:val="44"/>
        <w:tblW w:w="95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3540"/>
        <w:gridCol w:w="3056"/>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508" w:type="dxa"/>
            <w:tcBorders>
              <w:top w:val="single" w:color="auto" w:sz="1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序号</w:t>
            </w:r>
          </w:p>
        </w:tc>
        <w:tc>
          <w:tcPr>
            <w:tcW w:w="3540" w:type="dxa"/>
            <w:tcBorders>
              <w:top w:val="single" w:color="auto" w:sz="1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采购文件条款描述</w:t>
            </w:r>
          </w:p>
        </w:tc>
        <w:tc>
          <w:tcPr>
            <w:tcW w:w="3056" w:type="dxa"/>
            <w:tcBorders>
              <w:top w:val="single" w:color="auto" w:sz="12" w:space="0"/>
              <w:bottom w:val="double" w:color="auto" w:sz="4" w:space="0"/>
              <w:right w:val="single" w:color="auto" w:sz="2"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偏离情况</w:t>
            </w:r>
          </w:p>
          <w:p>
            <w:pPr>
              <w:spacing w:line="360" w:lineRule="auto"/>
              <w:ind w:left="-103" w:leftChars="-43"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（正偏离/完全响应/负偏离）</w:t>
            </w:r>
          </w:p>
        </w:tc>
        <w:tc>
          <w:tcPr>
            <w:tcW w:w="2410" w:type="dxa"/>
            <w:tcBorders>
              <w:top w:val="single" w:color="auto" w:sz="12" w:space="0"/>
              <w:left w:val="single" w:color="auto" w:sz="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偏离情况说明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bl>
    <w:p>
      <w:pPr>
        <w:spacing w:line="360" w:lineRule="auto"/>
        <w:rPr>
          <w:rFonts w:hint="eastAsia" w:ascii="宋体" w:hAnsi="宋体" w:eastAsia="宋体" w:cs="宋体"/>
          <w:szCs w:val="24"/>
          <w:highlight w:val="none"/>
        </w:rPr>
      </w:pPr>
    </w:p>
    <w:p>
      <w:pPr>
        <w:spacing w:after="23" w:line="360" w:lineRule="auto"/>
        <w:rPr>
          <w:rFonts w:hint="eastAsia" w:ascii="宋体" w:hAnsi="宋体" w:eastAsia="宋体" w:cs="宋体"/>
          <w:b/>
          <w:szCs w:val="24"/>
          <w:highlight w:val="none"/>
        </w:rPr>
      </w:pPr>
      <w:r>
        <w:rPr>
          <w:rFonts w:hint="eastAsia" w:ascii="宋体" w:hAnsi="宋体" w:eastAsia="宋体" w:cs="宋体"/>
          <w:b/>
          <w:szCs w:val="24"/>
          <w:highlight w:val="none"/>
          <w:u w:val="single"/>
        </w:rPr>
        <w:t>填表说明及要求：</w:t>
      </w:r>
    </w:p>
    <w:p>
      <w:pPr>
        <w:pStyle w:val="16"/>
        <w:spacing w:line="360" w:lineRule="auto"/>
        <w:ind w:left="397"/>
        <w:rPr>
          <w:rFonts w:hint="eastAsia" w:ascii="宋体" w:hAnsi="宋体" w:eastAsia="宋体" w:cs="宋体"/>
          <w:sz w:val="24"/>
          <w:szCs w:val="24"/>
          <w:highlight w:val="none"/>
        </w:rPr>
      </w:pPr>
    </w:p>
    <w:p>
      <w:pPr>
        <w:adjustRightInd w:val="0"/>
        <w:snapToGrid w:val="0"/>
        <w:spacing w:line="360" w:lineRule="auto"/>
        <w:ind w:left="257" w:leftChars="107"/>
        <w:rPr>
          <w:rFonts w:hint="eastAsia" w:ascii="宋体" w:hAnsi="宋体" w:eastAsia="宋体" w:cs="宋体"/>
          <w:szCs w:val="24"/>
          <w:highlight w:val="none"/>
        </w:rPr>
      </w:pPr>
      <w:r>
        <w:rPr>
          <w:rFonts w:hint="eastAsia" w:ascii="宋体" w:hAnsi="宋体" w:eastAsia="宋体" w:cs="宋体"/>
          <w:szCs w:val="24"/>
          <w:highlight w:val="none"/>
        </w:rPr>
        <w:t>1、本表中“采购文件条款描述”的条款与采购项目技术要求中的条款描述不一致的以采购项目技术要求中规定的为准。</w:t>
      </w:r>
    </w:p>
    <w:p>
      <w:pPr>
        <w:adjustRightInd w:val="0"/>
        <w:snapToGrid w:val="0"/>
        <w:spacing w:line="360" w:lineRule="auto"/>
        <w:ind w:left="257" w:leftChars="107"/>
        <w:rPr>
          <w:rFonts w:hint="eastAsia" w:ascii="宋体" w:hAnsi="宋体" w:eastAsia="宋体" w:cs="宋体"/>
          <w:b/>
          <w:bCs/>
          <w:szCs w:val="24"/>
          <w:highlight w:val="none"/>
        </w:rPr>
      </w:pPr>
      <w:r>
        <w:rPr>
          <w:rFonts w:hint="eastAsia" w:ascii="宋体" w:hAnsi="宋体" w:eastAsia="宋体" w:cs="宋体"/>
          <w:szCs w:val="24"/>
          <w:highlight w:val="none"/>
        </w:rPr>
        <w:t>2、供应商必须按采购文件要求附相关证明文件。</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rPr>
          <w:rFonts w:hint="eastAsia" w:ascii="宋体" w:hAnsi="宋体" w:eastAsia="宋体" w:cs="宋体"/>
          <w:sz w:val="28"/>
          <w:szCs w:val="28"/>
          <w:highlight w:val="none"/>
        </w:rPr>
      </w:pPr>
    </w:p>
    <w:p>
      <w:pPr>
        <w:pStyle w:val="5"/>
        <w:spacing w:after="156" w:afterLines="50"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r>
        <w:rPr>
          <w:rFonts w:hint="eastAsia" w:ascii="宋体" w:hAnsi="宋体" w:eastAsia="宋体" w:cs="宋体"/>
          <w:sz w:val="28"/>
          <w:szCs w:val="28"/>
          <w:highlight w:val="none"/>
        </w:rPr>
        <w:t>5.2 实施方案</w:t>
      </w:r>
    </w:p>
    <w:p>
      <w:pPr>
        <w:tabs>
          <w:tab w:val="left" w:pos="540"/>
        </w:tabs>
        <w:spacing w:line="360" w:lineRule="auto"/>
        <w:rPr>
          <w:rFonts w:hint="eastAsia" w:ascii="宋体" w:hAnsi="宋体" w:eastAsia="宋体" w:cs="宋体"/>
          <w:b/>
          <w:szCs w:val="24"/>
          <w:highlight w:val="none"/>
          <w:lang w:val="en-GB"/>
        </w:rPr>
      </w:pPr>
    </w:p>
    <w:p>
      <w:pPr>
        <w:tabs>
          <w:tab w:val="left" w:pos="540"/>
        </w:tabs>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注：</w:t>
      </w:r>
    </w:p>
    <w:p>
      <w:pPr>
        <w:tabs>
          <w:tab w:val="left" w:pos="540"/>
        </w:tabs>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请各供应商针对本项目的评审方法、评审子项或评分内容内容进行详细描述说明，自行编写。</w:t>
      </w:r>
    </w:p>
    <w:p>
      <w:pPr>
        <w:tabs>
          <w:tab w:val="left" w:pos="540"/>
        </w:tabs>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2.  实施方案设计须以符合国家、行业政策法规和社会公众利益为前提，充分体现出自身的技术优势和特点，突出其扩展性、先进性、可靠性。</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12"/>
        <w:spacing w:line="360" w:lineRule="auto"/>
        <w:rPr>
          <w:rFonts w:hint="eastAsia"/>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 w:val="48"/>
          <w:szCs w:val="48"/>
          <w:highlight w:val="none"/>
        </w:rPr>
      </w:pPr>
    </w:p>
    <w:p>
      <w:pPr>
        <w:pStyle w:val="4"/>
        <w:spacing w:line="360" w:lineRule="auto"/>
        <w:jc w:val="center"/>
        <w:rPr>
          <w:rFonts w:hint="eastAsia" w:ascii="宋体" w:hAnsi="宋体" w:eastAsia="宋体" w:cs="宋体"/>
          <w:sz w:val="48"/>
          <w:szCs w:val="48"/>
          <w:highlight w:val="none"/>
        </w:rPr>
      </w:pPr>
      <w:bookmarkStart w:id="140" w:name="_Toc10734"/>
      <w:r>
        <w:rPr>
          <w:rFonts w:hint="eastAsia" w:ascii="宋体" w:hAnsi="宋体" w:eastAsia="宋体" w:cs="宋体"/>
          <w:sz w:val="48"/>
          <w:szCs w:val="48"/>
          <w:highlight w:val="none"/>
        </w:rPr>
        <w:t>第六章  价格部分</w:t>
      </w:r>
      <w:bookmarkEnd w:id="140"/>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6.1 报价一览表</w:t>
      </w:r>
    </w:p>
    <w:p>
      <w:pPr>
        <w:tabs>
          <w:tab w:val="left" w:pos="6946"/>
        </w:tabs>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采购项目名称：</w:t>
      </w:r>
      <w:r>
        <w:rPr>
          <w:rFonts w:hint="eastAsia" w:ascii="宋体" w:hAnsi="宋体" w:cs="宋体"/>
          <w:szCs w:val="24"/>
          <w:highlight w:val="none"/>
          <w:lang w:eastAsia="zh-CN"/>
        </w:rPr>
        <w:t>佛山市公安局森林分局2022年购买警务辅助服务项目（第二次）</w:t>
      </w:r>
    </w:p>
    <w:p>
      <w:pPr>
        <w:tabs>
          <w:tab w:val="left" w:pos="6946"/>
        </w:tabs>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采购项目编号：</w:t>
      </w:r>
      <w:r>
        <w:rPr>
          <w:rFonts w:hint="eastAsia" w:ascii="宋体" w:hAnsi="宋体" w:cs="宋体"/>
          <w:szCs w:val="24"/>
          <w:highlight w:val="none"/>
          <w:lang w:eastAsia="zh-CN"/>
        </w:rPr>
        <w:t>fsganb20211204</w:t>
      </w:r>
    </w:p>
    <w:tbl>
      <w:tblPr>
        <w:tblStyle w:val="4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42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供应商名称</w:t>
            </w:r>
          </w:p>
        </w:tc>
        <w:tc>
          <w:tcPr>
            <w:tcW w:w="7217" w:type="dxa"/>
            <w:vAlign w:val="center"/>
          </w:tcPr>
          <w:p>
            <w:pPr>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2422" w:type="dxa"/>
            <w:vMerge w:val="restart"/>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磋商总报价</w:t>
            </w:r>
          </w:p>
        </w:tc>
        <w:tc>
          <w:tcPr>
            <w:tcW w:w="7217"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2422" w:type="dxa"/>
            <w:vMerge w:val="continue"/>
            <w:vAlign w:val="center"/>
          </w:tcPr>
          <w:p>
            <w:pPr>
              <w:spacing w:line="360" w:lineRule="auto"/>
              <w:jc w:val="center"/>
              <w:rPr>
                <w:rFonts w:hint="eastAsia" w:ascii="宋体" w:hAnsi="宋体" w:eastAsia="宋体" w:cs="宋体"/>
                <w:szCs w:val="24"/>
                <w:highlight w:val="none"/>
              </w:rPr>
            </w:pPr>
          </w:p>
        </w:tc>
        <w:tc>
          <w:tcPr>
            <w:tcW w:w="7217"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242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c>
          <w:tcPr>
            <w:tcW w:w="7217" w:type="dxa"/>
            <w:vAlign w:val="center"/>
          </w:tcPr>
          <w:p>
            <w:pPr>
              <w:spacing w:line="360" w:lineRule="auto"/>
              <w:ind w:left="360" w:hanging="360" w:hangingChars="150"/>
              <w:jc w:val="left"/>
              <w:rPr>
                <w:rFonts w:hint="eastAsia" w:ascii="宋体" w:hAnsi="宋体" w:eastAsia="宋体" w:cs="宋体"/>
                <w:szCs w:val="24"/>
                <w:highlight w:val="none"/>
              </w:rPr>
            </w:pPr>
            <w:r>
              <w:rPr>
                <w:rFonts w:hint="eastAsia" w:ascii="宋体" w:hAnsi="宋体" w:eastAsia="宋体" w:cs="宋体"/>
                <w:szCs w:val="24"/>
                <w:highlight w:val="none"/>
              </w:rPr>
              <w:t>1、磋商报价若超过项目采购项目预算金额，其报价将视为无效；</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2、详细报价内容见《分项报价表》；</w:t>
            </w:r>
          </w:p>
          <w:p>
            <w:pPr>
              <w:spacing w:line="360" w:lineRule="auto"/>
              <w:ind w:left="360" w:hanging="360" w:hangingChars="150"/>
              <w:jc w:val="left"/>
              <w:rPr>
                <w:rFonts w:hint="eastAsia" w:ascii="宋体" w:hAnsi="宋体" w:eastAsia="宋体" w:cs="宋体"/>
                <w:szCs w:val="24"/>
                <w:highlight w:val="none"/>
              </w:rPr>
            </w:pPr>
            <w:r>
              <w:rPr>
                <w:rFonts w:hint="eastAsia" w:ascii="宋体" w:hAnsi="宋体" w:eastAsia="宋体" w:cs="宋体"/>
                <w:szCs w:val="24"/>
                <w:highlight w:val="none"/>
              </w:rPr>
              <w:t>3、如有小型、微型企业产品须在响应文件中同时提供《中小企业声明函》及其资料。</w:t>
            </w:r>
          </w:p>
        </w:tc>
      </w:tr>
    </w:tbl>
    <w:p>
      <w:pPr>
        <w:tabs>
          <w:tab w:val="left" w:pos="720"/>
        </w:tabs>
        <w:snapToGrid w:val="0"/>
        <w:spacing w:line="360" w:lineRule="auto"/>
        <w:ind w:left="720" w:hanging="720" w:hangingChars="300"/>
        <w:rPr>
          <w:rFonts w:hint="eastAsia" w:ascii="宋体" w:hAnsi="宋体" w:eastAsia="宋体" w:cs="宋体"/>
          <w:szCs w:val="24"/>
          <w:highlight w:val="none"/>
        </w:rPr>
      </w:pPr>
    </w:p>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1.   “磋商总报价”应为各分项报价之和，响应文件差异修正准则参见磋商报价说明；</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2.   “磋商总报价”指供应商为完成本项目所收取的全部费用，及项目实施过程中其它应预见和不可预见费用等完成本采购项目、达到采购人目</w:t>
      </w:r>
      <w:bookmarkStart w:id="162" w:name="_GoBack"/>
      <w:bookmarkEnd w:id="162"/>
      <w:r>
        <w:rPr>
          <w:rFonts w:hint="eastAsia" w:ascii="宋体" w:hAnsi="宋体" w:eastAsia="宋体" w:cs="宋体"/>
          <w:szCs w:val="24"/>
          <w:highlight w:val="none"/>
          <w:lang w:val="en-GB"/>
        </w:rPr>
        <w:t>的的一切费用及企业利润；</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rPr>
        <w:t>3</w:t>
      </w:r>
      <w:r>
        <w:rPr>
          <w:rFonts w:hint="eastAsia" w:ascii="宋体" w:hAnsi="宋体" w:eastAsia="宋体" w:cs="宋体"/>
          <w:szCs w:val="24"/>
          <w:highlight w:val="none"/>
          <w:lang w:val="en-GB"/>
        </w:rPr>
        <w:t>.   磋商报价必须为唯一报价，采购方不接受选择性报价；</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rPr>
        <w:t>4</w:t>
      </w:r>
      <w:r>
        <w:rPr>
          <w:rFonts w:hint="eastAsia" w:ascii="宋体" w:hAnsi="宋体" w:eastAsia="宋体" w:cs="宋体"/>
          <w:szCs w:val="24"/>
          <w:highlight w:val="none"/>
          <w:lang w:val="en-GB"/>
        </w:rPr>
        <w:t>.   本表除在响应文件正、副本内提供外，还须在报价信封中提交。</w:t>
      </w:r>
    </w:p>
    <w:p>
      <w:pPr>
        <w:tabs>
          <w:tab w:val="left" w:pos="540"/>
        </w:tabs>
        <w:snapToGrid w:val="0"/>
        <w:spacing w:line="360" w:lineRule="auto"/>
        <w:rPr>
          <w:rFonts w:hint="eastAsia" w:ascii="宋体" w:hAnsi="宋体" w:eastAsia="宋体" w:cs="宋体"/>
          <w:b/>
          <w:szCs w:val="24"/>
          <w:highlight w:val="none"/>
          <w:lang w:val="en-GB"/>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6.2 分项报价表</w:t>
      </w:r>
    </w:p>
    <w:tbl>
      <w:tblPr>
        <w:tblStyle w:val="44"/>
        <w:tblW w:w="10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368"/>
        <w:gridCol w:w="2457"/>
        <w:gridCol w:w="1076"/>
        <w:gridCol w:w="900"/>
        <w:gridCol w:w="1080"/>
        <w:gridCol w:w="122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0177" w:type="dxa"/>
            <w:gridSpan w:val="8"/>
            <w:tcBorders>
              <w:top w:val="double"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hint="eastAsia" w:ascii="宋体" w:hAnsi="宋体" w:eastAsia="宋体" w:cs="宋体"/>
                <w:b/>
                <w:szCs w:val="24"/>
                <w:highlight w:val="none"/>
              </w:rPr>
            </w:pPr>
            <w:r>
              <w:rPr>
                <w:rFonts w:hint="eastAsia" w:ascii="宋体" w:hAnsi="宋体" w:eastAsia="宋体" w:cs="宋体"/>
                <w:b/>
                <w:szCs w:val="24"/>
                <w:highlight w:val="none"/>
              </w:rPr>
              <w:t>一、主要项目详列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1368"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分项名称</w:t>
            </w:r>
          </w:p>
        </w:tc>
        <w:tc>
          <w:tcPr>
            <w:tcW w:w="2457"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具体内容</w:t>
            </w:r>
          </w:p>
        </w:tc>
        <w:tc>
          <w:tcPr>
            <w:tcW w:w="1076"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bCs/>
                <w:szCs w:val="24"/>
                <w:highlight w:val="none"/>
              </w:rPr>
              <w:t>单位</w:t>
            </w:r>
          </w:p>
        </w:tc>
        <w:tc>
          <w:tcPr>
            <w:tcW w:w="90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数量</w:t>
            </w:r>
          </w:p>
        </w:tc>
        <w:tc>
          <w:tcPr>
            <w:tcW w:w="10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单价</w:t>
            </w:r>
          </w:p>
        </w:tc>
        <w:tc>
          <w:tcPr>
            <w:tcW w:w="1222"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ind w:left="-106" w:leftChars="-44"/>
              <w:jc w:val="center"/>
              <w:rPr>
                <w:rFonts w:hint="eastAsia" w:ascii="宋体" w:hAnsi="宋体" w:eastAsia="宋体" w:cs="宋体"/>
                <w:b/>
                <w:szCs w:val="24"/>
                <w:highlight w:val="none"/>
              </w:rPr>
            </w:pPr>
            <w:r>
              <w:rPr>
                <w:rFonts w:hint="eastAsia" w:ascii="宋体" w:hAnsi="宋体" w:eastAsia="宋体" w:cs="宋体"/>
                <w:b/>
                <w:szCs w:val="24"/>
                <w:highlight w:val="none"/>
              </w:rPr>
              <w:t>合计</w:t>
            </w:r>
          </w:p>
        </w:tc>
        <w:tc>
          <w:tcPr>
            <w:tcW w:w="1080" w:type="dxa"/>
            <w:tcBorders>
              <w:top w:val="dotted" w:color="auto" w:sz="4" w:space="0"/>
              <w:left w:val="dotted" w:color="auto" w:sz="4" w:space="0"/>
              <w:bottom w:val="dotted" w:color="auto" w:sz="4" w:space="0"/>
              <w:right w:val="double"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hint="eastAsia" w:ascii="宋体" w:hAnsi="宋体" w:eastAsia="宋体" w:cs="宋体"/>
                <w:b/>
                <w:bCs/>
                <w:i/>
                <w:iCs/>
                <w:szCs w:val="24"/>
                <w:highlight w:val="none"/>
              </w:rPr>
            </w:pPr>
            <w:r>
              <w:rPr>
                <w:rFonts w:hint="eastAsia" w:ascii="宋体" w:hAnsi="宋体" w:eastAsia="宋体" w:cs="宋体"/>
                <w:b/>
                <w:bCs/>
                <w:i/>
                <w:iCs/>
                <w:szCs w:val="24"/>
                <w:highlight w:val="none"/>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报价合计：￥</w:t>
            </w:r>
            <w:r>
              <w:rPr>
                <w:rFonts w:hint="eastAsia" w:ascii="宋体" w:hAnsi="宋体" w:eastAsia="宋体" w:cs="宋体"/>
                <w:b/>
                <w:bCs/>
                <w:szCs w:val="24"/>
                <w:highlight w:val="none"/>
                <w:u w:val="single"/>
              </w:rPr>
              <w:t xml:space="preserve">               </w:t>
            </w:r>
            <w:r>
              <w:rPr>
                <w:rFonts w:hint="eastAsia" w:ascii="宋体" w:hAnsi="宋体" w:eastAsia="宋体" w:cs="宋体"/>
                <w:b/>
                <w:bCs/>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0177" w:type="dxa"/>
            <w:gridSpan w:val="8"/>
            <w:tcBorders>
              <w:top w:val="dotted"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hint="eastAsia" w:ascii="宋体" w:hAnsi="宋体" w:eastAsia="宋体" w:cs="宋体"/>
                <w:b/>
                <w:szCs w:val="24"/>
                <w:highlight w:val="none"/>
              </w:rPr>
            </w:pPr>
            <w:r>
              <w:rPr>
                <w:rFonts w:hint="eastAsia" w:ascii="宋体" w:hAnsi="宋体" w:eastAsia="宋体" w:cs="宋体"/>
                <w:b/>
                <w:szCs w:val="24"/>
                <w:highlight w:val="none"/>
              </w:rPr>
              <w:t>二、其他项目详列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分项名称</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具体内容</w:t>
            </w: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单位</w:t>
            </w: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数量</w:t>
            </w: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单价</w:t>
            </w: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ind w:left="-106" w:leftChars="-44"/>
              <w:jc w:val="center"/>
              <w:rPr>
                <w:rFonts w:hint="eastAsia" w:ascii="宋体" w:hAnsi="宋体" w:eastAsia="宋体" w:cs="宋体"/>
                <w:b/>
                <w:szCs w:val="24"/>
                <w:highlight w:val="none"/>
              </w:rPr>
            </w:pPr>
            <w:r>
              <w:rPr>
                <w:rFonts w:hint="eastAsia" w:ascii="宋体" w:hAnsi="宋体" w:eastAsia="宋体" w:cs="宋体"/>
                <w:b/>
                <w:szCs w:val="24"/>
                <w:highlight w:val="none"/>
              </w:rPr>
              <w:t>合计</w:t>
            </w: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1.1.</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pStyle w:val="87"/>
              <w:spacing w:line="360" w:lineRule="auto"/>
              <w:ind w:left="-52" w:right="-122"/>
              <w:rPr>
                <w:rFonts w:hint="eastAsia" w:ascii="宋体" w:hAnsi="宋体" w:eastAsia="宋体" w:cs="宋体"/>
                <w:color w:val="auto"/>
                <w:sz w:val="24"/>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1.2.</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hint="eastAsia" w:ascii="宋体" w:hAnsi="宋体" w:eastAsia="宋体" w:cs="宋体"/>
                <w:b/>
                <w:bCs/>
                <w:i/>
                <w:iCs/>
                <w:szCs w:val="24"/>
                <w:highlight w:val="none"/>
              </w:rPr>
            </w:pPr>
            <w:r>
              <w:rPr>
                <w:rFonts w:hint="eastAsia" w:ascii="宋体" w:hAnsi="宋体" w:eastAsia="宋体" w:cs="宋体"/>
                <w:b/>
                <w:bCs/>
                <w:i/>
                <w:iCs/>
                <w:szCs w:val="24"/>
                <w:highlight w:val="none"/>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报价合计：￥</w:t>
            </w:r>
            <w:r>
              <w:rPr>
                <w:rFonts w:hint="eastAsia" w:ascii="宋体" w:hAnsi="宋体" w:eastAsia="宋体" w:cs="宋体"/>
                <w:b/>
                <w:bCs/>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0177" w:type="dxa"/>
            <w:gridSpan w:val="8"/>
            <w:tcBorders>
              <w:top w:val="dotted" w:color="auto" w:sz="4" w:space="0"/>
              <w:left w:val="double" w:color="auto" w:sz="4" w:space="0"/>
              <w:bottom w:val="double"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 xml:space="preserve">  三、报价汇总：￥</w:t>
            </w:r>
            <w:r>
              <w:rPr>
                <w:rFonts w:hint="eastAsia" w:ascii="宋体" w:hAnsi="宋体" w:eastAsia="宋体" w:cs="宋体"/>
                <w:b/>
                <w:bCs/>
                <w:szCs w:val="24"/>
                <w:highlight w:val="none"/>
                <w:u w:val="single"/>
              </w:rPr>
              <w:t xml:space="preserve">              </w:t>
            </w:r>
            <w:r>
              <w:rPr>
                <w:rFonts w:hint="eastAsia" w:ascii="宋体" w:hAnsi="宋体" w:eastAsia="宋体" w:cs="宋体"/>
                <w:b/>
                <w:bCs/>
                <w:szCs w:val="24"/>
                <w:highlight w:val="none"/>
              </w:rPr>
              <w:t xml:space="preserve"> 。</w:t>
            </w:r>
            <w:r>
              <w:rPr>
                <w:rFonts w:hint="eastAsia" w:ascii="宋体" w:hAnsi="宋体" w:eastAsia="宋体" w:cs="宋体"/>
                <w:szCs w:val="24"/>
                <w:highlight w:val="none"/>
              </w:rPr>
              <w:t xml:space="preserve"> （以上各合计项与报价汇总表中的对应项均一致相符）</w:t>
            </w:r>
          </w:p>
        </w:tc>
      </w:tr>
    </w:tbl>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u w:val="double"/>
        </w:rPr>
        <w:t>填表说明及要求：</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所有价格均用人民币表示，单位为元；</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分项报价总计价格必须与《开标一览表》报价一致；</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3.   如果不提供详细的投标分项报价将被视为没有实质性响应</w:t>
      </w:r>
      <w:r>
        <w:rPr>
          <w:rFonts w:hint="eastAsia" w:ascii="宋体" w:hAnsi="宋体" w:eastAsia="宋体" w:cs="宋体"/>
          <w:szCs w:val="24"/>
          <w:highlight w:val="none"/>
        </w:rPr>
        <w:t>竞争性磋商文件</w:t>
      </w:r>
      <w:r>
        <w:rPr>
          <w:rFonts w:hint="eastAsia" w:ascii="宋体" w:hAnsi="宋体" w:eastAsia="宋体" w:cs="宋体"/>
          <w:szCs w:val="24"/>
          <w:highlight w:val="none"/>
          <w:lang w:val="en-GB"/>
        </w:rPr>
        <w:t>；</w:t>
      </w:r>
    </w:p>
    <w:p>
      <w:p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4.   以上表格内容仅作参考，供应商可自行编制此表，并作详细说明。</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（公章）</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pStyle w:val="5"/>
        <w:spacing w:after="156" w:afterLines="50"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 w:val="32"/>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 xml:space="preserve">6.3 </w:t>
      </w:r>
      <w:r>
        <w:rPr>
          <w:rFonts w:hint="eastAsia" w:ascii="宋体" w:hAnsi="宋体" w:eastAsia="宋体" w:cs="宋体"/>
          <w:sz w:val="32"/>
          <w:highlight w:val="none"/>
        </w:rPr>
        <w:t>中小企业声明函（货物）（如有）</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本公司（联合体）郑重声明，根据《政府采购促进中小企业发展管理办法》（财库﹝2020﹞46号）的规定，本公司（联合体）参加</w:t>
      </w:r>
      <w:r>
        <w:rPr>
          <w:rFonts w:hint="eastAsia" w:ascii="宋体" w:hAnsi="宋体" w:eastAsia="宋体" w:cs="宋体"/>
          <w:szCs w:val="24"/>
          <w:highlight w:val="none"/>
          <w:u w:val="single"/>
        </w:rPr>
        <w:t>（单位名称）</w:t>
      </w:r>
      <w:r>
        <w:rPr>
          <w:rFonts w:hint="eastAsia" w:ascii="宋体" w:hAnsi="宋体" w:eastAsia="宋体" w:cs="宋体"/>
          <w:szCs w:val="24"/>
          <w:highlight w:val="none"/>
        </w:rPr>
        <w:t>的</w:t>
      </w:r>
      <w:r>
        <w:rPr>
          <w:rFonts w:hint="eastAsia" w:ascii="宋体" w:hAnsi="宋体" w:eastAsia="宋体" w:cs="宋体"/>
          <w:szCs w:val="24"/>
          <w:highlight w:val="none"/>
          <w:u w:val="single"/>
        </w:rPr>
        <w:t>（项目名称）</w:t>
      </w:r>
      <w:r>
        <w:rPr>
          <w:rFonts w:hint="eastAsia" w:ascii="宋体" w:hAnsi="宋体" w:eastAsia="宋体" w:cs="宋体"/>
          <w:szCs w:val="24"/>
          <w:highlight w:val="none"/>
        </w:rPr>
        <w:t>采购活动，提供的货物全部由符合政策要求的中小企业制造。相关企业</w:t>
      </w:r>
      <w:r>
        <w:rPr>
          <w:rFonts w:hint="eastAsia" w:ascii="宋体" w:hAnsi="宋体" w:eastAsia="宋体" w:cs="宋体"/>
          <w:szCs w:val="24"/>
          <w:highlight w:val="none"/>
          <w:u w:val="single"/>
        </w:rPr>
        <w:t>（含联合体中的中小企业、签订分包意向协议的中小企业）</w:t>
      </w:r>
      <w:r>
        <w:rPr>
          <w:rFonts w:hint="eastAsia" w:ascii="宋体" w:hAnsi="宋体" w:eastAsia="宋体" w:cs="宋体"/>
          <w:szCs w:val="24"/>
          <w:highlight w:val="none"/>
        </w:rPr>
        <w:t>的具体情况如下：</w:t>
      </w:r>
    </w:p>
    <w:p>
      <w:pPr>
        <w:numPr>
          <w:ilvl w:val="0"/>
          <w:numId w:val="61"/>
        </w:num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u w:val="single"/>
        </w:rPr>
        <w:t xml:space="preserve">（标的名称）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（采购文件中明确的所属行业）行业</w:t>
      </w:r>
      <w:r>
        <w:rPr>
          <w:rFonts w:hint="eastAsia" w:ascii="宋体" w:hAnsi="宋体" w:eastAsia="宋体" w:cs="宋体"/>
          <w:szCs w:val="24"/>
          <w:highlight w:val="none"/>
        </w:rPr>
        <w:t>；制造商为</w:t>
      </w:r>
      <w:r>
        <w:rPr>
          <w:rFonts w:hint="eastAsia" w:ascii="宋体" w:hAnsi="宋体" w:eastAsia="宋体" w:cs="宋体"/>
          <w:szCs w:val="24"/>
          <w:highlight w:val="none"/>
          <w:u w:val="single"/>
        </w:rPr>
        <w:t>（企业名称）</w:t>
      </w:r>
      <w:r>
        <w:rPr>
          <w:rFonts w:hint="eastAsia" w:ascii="宋体" w:hAnsi="宋体" w:eastAsia="宋体" w:cs="宋体"/>
          <w:szCs w:val="24"/>
          <w:highlight w:val="none"/>
        </w:rPr>
        <w:t>，从业人员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numPr>
          <w:ilvl w:val="0"/>
          <w:numId w:val="61"/>
        </w:num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u w:val="single"/>
        </w:rPr>
        <w:t xml:space="preserve">（标的名称）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w:t>
      </w:r>
      <w:r>
        <w:rPr>
          <w:rFonts w:hint="eastAsia" w:ascii="宋体" w:hAnsi="宋体" w:eastAsia="宋体" w:cs="宋体"/>
          <w:szCs w:val="24"/>
          <w:highlight w:val="none"/>
        </w:rPr>
        <w:t>行业；制造商为</w:t>
      </w:r>
      <w:r>
        <w:rPr>
          <w:rFonts w:hint="eastAsia" w:ascii="宋体" w:hAnsi="宋体" w:eastAsia="宋体" w:cs="宋体"/>
          <w:szCs w:val="24"/>
          <w:highlight w:val="none"/>
          <w:u w:val="single"/>
        </w:rPr>
        <w:t>（企业名称）</w:t>
      </w:r>
      <w:r>
        <w:rPr>
          <w:rFonts w:hint="eastAsia" w:ascii="宋体" w:hAnsi="宋体" w:eastAsia="宋体" w:cs="宋体"/>
          <w:szCs w:val="24"/>
          <w:highlight w:val="none"/>
        </w:rPr>
        <w:t>，从业人员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spacing w:line="360" w:lineRule="auto"/>
        <w:ind w:left="480"/>
        <w:rPr>
          <w:rFonts w:hint="eastAsia" w:ascii="宋体" w:hAnsi="宋体" w:eastAsia="宋体" w:cs="宋体"/>
          <w:szCs w:val="24"/>
          <w:highlight w:val="none"/>
        </w:rPr>
      </w:pPr>
      <w:r>
        <w:rPr>
          <w:rFonts w:hint="eastAsia" w:ascii="宋体" w:hAnsi="宋体" w:eastAsia="宋体" w:cs="宋体"/>
          <w:szCs w:val="24"/>
          <w:highlight w:val="none"/>
        </w:rPr>
        <w:t xml:space="preserve"> …… </w:t>
      </w:r>
    </w:p>
    <w:p>
      <w:pPr>
        <w:spacing w:line="360" w:lineRule="auto"/>
        <w:ind w:left="480"/>
        <w:rPr>
          <w:rFonts w:hint="eastAsia" w:ascii="宋体" w:hAnsi="宋体" w:eastAsia="宋体" w:cs="宋体"/>
          <w:szCs w:val="24"/>
          <w:highlight w:val="none"/>
        </w:rPr>
      </w:pPr>
      <w:r>
        <w:rPr>
          <w:rFonts w:hint="eastAsia" w:ascii="宋体" w:hAnsi="宋体" w:eastAsia="宋体" w:cs="宋体"/>
          <w:szCs w:val="24"/>
          <w:highlight w:val="none"/>
        </w:rPr>
        <w:t xml:space="preserve">以上企业，不属于大企业的分支机构，不存在控股股东为大企业的情形，也不存在与大企业的负责人为同一人的情形。 </w:t>
      </w:r>
    </w:p>
    <w:p>
      <w:pPr>
        <w:spacing w:line="360" w:lineRule="auto"/>
        <w:ind w:left="480"/>
        <w:rPr>
          <w:rFonts w:hint="eastAsia" w:ascii="宋体" w:hAnsi="宋体" w:eastAsia="宋体" w:cs="宋体"/>
          <w:szCs w:val="24"/>
          <w:highlight w:val="none"/>
        </w:rPr>
      </w:pPr>
      <w:r>
        <w:rPr>
          <w:rFonts w:hint="eastAsia" w:ascii="宋体" w:hAnsi="宋体" w:eastAsia="宋体" w:cs="宋体"/>
          <w:szCs w:val="24"/>
          <w:highlight w:val="none"/>
        </w:rPr>
        <w:t>本企业对上述声明内容的真实性负责。如有虚假，将依法承担相应责任。</w:t>
      </w:r>
    </w:p>
    <w:p>
      <w:pPr>
        <w:spacing w:line="360" w:lineRule="auto"/>
        <w:ind w:firstLine="480"/>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企业名称（盖章）：</w:t>
      </w: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日 期：</w:t>
      </w:r>
    </w:p>
    <w:p>
      <w:pPr>
        <w:spacing w:line="360" w:lineRule="auto"/>
        <w:ind w:firstLine="480"/>
        <w:rPr>
          <w:rFonts w:hint="eastAsia" w:ascii="宋体" w:hAnsi="宋体" w:eastAsia="宋体" w:cs="宋体"/>
          <w:szCs w:val="24"/>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6"/>
          <w:highlight w:val="none"/>
          <w:shd w:val="clear" w:color="auto" w:fill="FFFFFF"/>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jc w:val="center"/>
        <w:rPr>
          <w:rFonts w:hint="eastAsia" w:ascii="宋体" w:hAnsi="宋体" w:eastAsia="宋体" w:cs="宋体"/>
          <w:b/>
          <w:bCs/>
          <w:sz w:val="32"/>
          <w:szCs w:val="32"/>
          <w:highlight w:val="none"/>
          <w:lang w:eastAsia="zh-CN"/>
        </w:rPr>
      </w:pPr>
      <w:r>
        <w:rPr>
          <w:rFonts w:hint="eastAsia" w:ascii="宋体" w:hAnsi="宋体" w:eastAsia="宋体" w:cs="宋体"/>
          <w:highlight w:val="none"/>
        </w:rPr>
        <w:br w:type="page"/>
      </w:r>
      <w:r>
        <w:rPr>
          <w:rFonts w:hint="eastAsia" w:ascii="宋体" w:hAnsi="宋体" w:eastAsia="宋体" w:cs="宋体"/>
          <w:b/>
          <w:bCs/>
          <w:sz w:val="32"/>
          <w:szCs w:val="32"/>
          <w:highlight w:val="none"/>
        </w:rPr>
        <w:t>中小企业声明函（工程、服务）</w:t>
      </w:r>
      <w:r>
        <w:rPr>
          <w:rFonts w:hint="eastAsia" w:ascii="宋体" w:hAnsi="宋体" w:eastAsia="宋体" w:cs="宋体"/>
          <w:b/>
          <w:bCs/>
          <w:sz w:val="32"/>
          <w:szCs w:val="32"/>
          <w:highlight w:val="none"/>
          <w:lang w:eastAsia="zh-CN"/>
        </w:rPr>
        <w:t>（</w:t>
      </w:r>
      <w:r>
        <w:rPr>
          <w:rFonts w:hint="eastAsia" w:ascii="宋体" w:hAnsi="宋体" w:eastAsia="宋体" w:cs="宋体"/>
          <w:b/>
          <w:bCs/>
          <w:sz w:val="32"/>
          <w:szCs w:val="32"/>
          <w:highlight w:val="none"/>
          <w:lang w:val="en-US" w:eastAsia="zh-CN"/>
        </w:rPr>
        <w:t>如有</w:t>
      </w:r>
      <w:r>
        <w:rPr>
          <w:rFonts w:hint="eastAsia" w:ascii="宋体" w:hAnsi="宋体" w:eastAsia="宋体" w:cs="宋体"/>
          <w:b/>
          <w:bCs/>
          <w:sz w:val="32"/>
          <w:szCs w:val="32"/>
          <w:highlight w:val="none"/>
          <w:lang w:eastAsia="zh-CN"/>
        </w:rPr>
        <w:t>）</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本公司（联合体）郑重声明，根据《政府采购促进中小 企业发展管理办法》（财库﹝2020﹞46号）的规定，本公司 （联合体）参加（单位名称）的（项目名称）采购活动，工 程的施工单位全部为符合政策要求的中小企业（或者：服务全部由符合政策要求的中小企业承接）。相关企业（含联合体中的中小企业、签订分包意向协议的中小企业）的具体情 况如下：</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1.</w:t>
      </w:r>
      <w:r>
        <w:rPr>
          <w:rFonts w:hint="eastAsia" w:ascii="宋体" w:hAnsi="宋体" w:eastAsia="宋体" w:cs="宋体"/>
          <w:szCs w:val="24"/>
          <w:highlight w:val="none"/>
          <w:u w:val="single"/>
        </w:rPr>
        <w:t xml:space="preserve"> （标的名称）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w:t>
      </w:r>
      <w:r>
        <w:rPr>
          <w:rFonts w:hint="eastAsia" w:ascii="宋体" w:hAnsi="宋体" w:eastAsia="宋体" w:cs="宋体"/>
          <w:szCs w:val="24"/>
          <w:highlight w:val="none"/>
        </w:rPr>
        <w:t>； 承建（承接）企业为（企业名称），从业人员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2.</w:t>
      </w:r>
      <w:r>
        <w:rPr>
          <w:rFonts w:hint="eastAsia" w:ascii="宋体" w:hAnsi="宋体" w:eastAsia="宋体" w:cs="宋体"/>
          <w:szCs w:val="24"/>
          <w:highlight w:val="none"/>
          <w:u w:val="single"/>
        </w:rPr>
        <w:t xml:space="preserve"> （标的名称）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w:t>
      </w:r>
      <w:r>
        <w:rPr>
          <w:rFonts w:hint="eastAsia" w:ascii="宋体" w:hAnsi="宋体" w:eastAsia="宋体" w:cs="宋体"/>
          <w:szCs w:val="24"/>
          <w:highlight w:val="none"/>
        </w:rPr>
        <w:t>； 承建（承接）企业为（企业名称），从业人员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 xml:space="preserve"> …… </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以上企业，不属于大企业的分支机构，不存在控股股东 为大企业的情形，也不存在与大企业的负责人为同一人的情 形。</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本企业对上述声明内容的真实性负责。如有虚假，将依 法承担相应责任。</w:t>
      </w: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企业名称（盖章）：</w:t>
      </w: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日 期：</w:t>
      </w:r>
    </w:p>
    <w:p>
      <w:pPr>
        <w:spacing w:line="360" w:lineRule="auto"/>
        <w:ind w:firstLine="480"/>
        <w:rPr>
          <w:rFonts w:hint="eastAsia" w:ascii="宋体" w:hAnsi="宋体" w:eastAsia="宋体" w:cs="宋体"/>
          <w:szCs w:val="24"/>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rPr>
          <w:rFonts w:hint="eastAsia" w:ascii="宋体" w:hAnsi="宋体" w:eastAsia="宋体" w:cs="宋体"/>
          <w:szCs w:val="24"/>
          <w:highlight w:val="none"/>
          <w:u w:val="single"/>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jc w:val="center"/>
        <w:outlineLvl w:val="0"/>
        <w:rPr>
          <w:rFonts w:hint="eastAsia" w:ascii="宋体" w:hAnsi="宋体" w:eastAsia="宋体" w:cs="宋体"/>
          <w:szCs w:val="24"/>
          <w:highlight w:val="none"/>
        </w:rPr>
      </w:pPr>
      <w:r>
        <w:rPr>
          <w:rFonts w:hint="eastAsia" w:ascii="宋体" w:hAnsi="宋体" w:eastAsia="宋体" w:cs="宋体"/>
          <w:szCs w:val="24"/>
          <w:highlight w:val="none"/>
        </w:rPr>
        <w:br w:type="page"/>
      </w:r>
      <w:bookmarkStart w:id="141" w:name="_Toc3432"/>
      <w:bookmarkStart w:id="142" w:name="_Toc11175"/>
      <w:r>
        <w:rPr>
          <w:rFonts w:hint="eastAsia" w:ascii="宋体" w:hAnsi="宋体" w:eastAsia="宋体" w:cs="宋体"/>
          <w:b/>
          <w:bCs/>
          <w:szCs w:val="24"/>
          <w:highlight w:val="none"/>
        </w:rPr>
        <w:t>6.4 监狱企业证明文件（如有）</w:t>
      </w:r>
      <w:bookmarkEnd w:id="141"/>
      <w:bookmarkEnd w:id="142"/>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监狱企业参加政府采购活动时，应当提供由省级以上监狱管理局、戒毒管理局（含新疆生产建设兵团）出具的属于监狱企业的证明文件。</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jc w:val="center"/>
        <w:outlineLvl w:val="0"/>
        <w:rPr>
          <w:rFonts w:hint="eastAsia" w:ascii="宋体" w:hAnsi="宋体" w:eastAsia="宋体" w:cs="宋体"/>
          <w:szCs w:val="24"/>
          <w:highlight w:val="none"/>
        </w:rPr>
      </w:pPr>
      <w:bookmarkStart w:id="143" w:name="_Toc30228"/>
      <w:bookmarkStart w:id="144" w:name="_Toc18515"/>
      <w:r>
        <w:rPr>
          <w:rFonts w:hint="eastAsia" w:ascii="宋体" w:hAnsi="宋体" w:eastAsia="宋体" w:cs="宋体"/>
          <w:b/>
          <w:bCs/>
          <w:szCs w:val="24"/>
          <w:highlight w:val="none"/>
        </w:rPr>
        <w:t>6.5残疾人福利性单位声明函（如有）</w:t>
      </w:r>
      <w:bookmarkEnd w:id="143"/>
      <w:bookmarkEnd w:id="144"/>
    </w:p>
    <w:p>
      <w:pPr>
        <w:spacing w:line="360" w:lineRule="auto"/>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spacing w:val="6"/>
          <w:szCs w:val="24"/>
          <w:highlight w:val="none"/>
        </w:rPr>
      </w:pPr>
    </w:p>
    <w:p>
      <w:pPr>
        <w:spacing w:line="360" w:lineRule="auto"/>
        <w:ind w:firstLine="504" w:firstLineChars="200"/>
        <w:rPr>
          <w:rFonts w:hint="eastAsia" w:ascii="宋体" w:hAnsi="宋体" w:eastAsia="宋体" w:cs="宋体"/>
          <w:spacing w:val="6"/>
          <w:szCs w:val="24"/>
          <w:highlight w:val="none"/>
        </w:rPr>
      </w:pPr>
    </w:p>
    <w:p>
      <w:pPr>
        <w:tabs>
          <w:tab w:val="left" w:pos="4860"/>
        </w:tabs>
        <w:wordWrap w:val="0"/>
        <w:spacing w:line="360" w:lineRule="auto"/>
        <w:ind w:right="1560" w:firstLine="504" w:firstLineChars="200"/>
        <w:jc w:val="right"/>
        <w:rPr>
          <w:rFonts w:hint="eastAsia" w:ascii="宋体" w:hAnsi="宋体" w:eastAsia="宋体" w:cs="宋体"/>
          <w:spacing w:val="6"/>
          <w:szCs w:val="24"/>
          <w:highlight w:val="none"/>
          <w:u w:val="single"/>
        </w:rPr>
      </w:pPr>
      <w:r>
        <w:rPr>
          <w:rFonts w:hint="eastAsia" w:ascii="宋体" w:hAnsi="宋体" w:eastAsia="宋体" w:cs="宋体"/>
          <w:spacing w:val="6"/>
          <w:szCs w:val="24"/>
          <w:highlight w:val="none"/>
        </w:rPr>
        <w:t xml:space="preserve">   单位名称（盖章）：</w:t>
      </w:r>
      <w:r>
        <w:rPr>
          <w:rFonts w:hint="eastAsia" w:ascii="宋体" w:hAnsi="宋体" w:eastAsia="宋体" w:cs="宋体"/>
          <w:spacing w:val="6"/>
          <w:szCs w:val="24"/>
          <w:highlight w:val="none"/>
          <w:u w:val="single"/>
        </w:rPr>
        <w:t xml:space="preserve">             </w:t>
      </w:r>
    </w:p>
    <w:p>
      <w:pPr>
        <w:tabs>
          <w:tab w:val="left" w:pos="4860"/>
        </w:tabs>
        <w:wordWrap w:val="0"/>
        <w:spacing w:line="360" w:lineRule="auto"/>
        <w:ind w:right="1560" w:firstLine="504" w:firstLineChars="200"/>
        <w:jc w:val="right"/>
        <w:rPr>
          <w:rFonts w:hint="eastAsia" w:ascii="宋体" w:hAnsi="宋体" w:eastAsia="宋体" w:cs="宋体"/>
          <w:spacing w:val="6"/>
          <w:szCs w:val="24"/>
          <w:highlight w:val="none"/>
          <w:u w:val="single"/>
        </w:rPr>
      </w:pPr>
      <w:r>
        <w:rPr>
          <w:rFonts w:hint="eastAsia" w:ascii="宋体" w:hAnsi="宋体" w:eastAsia="宋体" w:cs="宋体"/>
          <w:spacing w:val="6"/>
          <w:szCs w:val="24"/>
          <w:highlight w:val="none"/>
        </w:rPr>
        <w:t>日期：</w:t>
      </w:r>
      <w:r>
        <w:rPr>
          <w:rFonts w:hint="eastAsia" w:ascii="宋体" w:hAnsi="宋体" w:eastAsia="宋体" w:cs="宋体"/>
          <w:spacing w:val="6"/>
          <w:szCs w:val="24"/>
          <w:highlight w:val="none"/>
          <w:u w:val="single"/>
        </w:rPr>
        <w:t xml:space="preserve">             </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0"/>
          <w:szCs w:val="40"/>
          <w:highlight w:val="none"/>
        </w:rPr>
      </w:pPr>
      <w:bookmarkStart w:id="145" w:name="_Toc9367"/>
      <w:r>
        <w:rPr>
          <w:rFonts w:hint="eastAsia" w:ascii="宋体" w:hAnsi="宋体" w:eastAsia="宋体" w:cs="宋体"/>
          <w:sz w:val="40"/>
          <w:szCs w:val="40"/>
          <w:highlight w:val="none"/>
        </w:rPr>
        <w:t>其 他 格 式</w:t>
      </w:r>
      <w:bookmarkEnd w:id="145"/>
    </w:p>
    <w:p>
      <w:pPr>
        <w:spacing w:line="360" w:lineRule="auto"/>
        <w:jc w:val="center"/>
        <w:outlineLvl w:val="0"/>
        <w:rPr>
          <w:rFonts w:hint="eastAsia" w:ascii="宋体" w:hAnsi="宋体" w:eastAsia="宋体" w:cs="宋体"/>
          <w:b/>
          <w:sz w:val="40"/>
          <w:szCs w:val="40"/>
          <w:highlight w:val="none"/>
        </w:rPr>
      </w:pPr>
      <w:bookmarkStart w:id="146" w:name="_Toc27760"/>
      <w:bookmarkStart w:id="147" w:name="_Toc11846"/>
      <w:r>
        <w:rPr>
          <w:rFonts w:hint="eastAsia" w:ascii="宋体" w:hAnsi="宋体" w:eastAsia="宋体" w:cs="宋体"/>
          <w:b/>
          <w:sz w:val="40"/>
          <w:szCs w:val="40"/>
          <w:highlight w:val="none"/>
        </w:rPr>
        <w:t>（注：本部分内容勿装订在响应文件内）</w:t>
      </w:r>
      <w:bookmarkEnd w:id="146"/>
      <w:bookmarkEnd w:id="147"/>
    </w:p>
    <w:p>
      <w:pPr>
        <w:spacing w:line="360" w:lineRule="auto"/>
        <w:rPr>
          <w:rFonts w:hint="eastAsia" w:ascii="宋体" w:hAnsi="宋体" w:eastAsia="宋体" w:cs="宋体"/>
          <w:b/>
          <w:szCs w:val="24"/>
          <w:highlight w:val="none"/>
        </w:rPr>
      </w:pPr>
    </w:p>
    <w:p>
      <w:pPr>
        <w:spacing w:line="360" w:lineRule="auto"/>
        <w:rPr>
          <w:rFonts w:hint="eastAsia" w:ascii="宋体" w:hAnsi="宋体" w:eastAsia="宋体" w:cs="宋体"/>
          <w:kern w:val="1"/>
          <w:szCs w:val="24"/>
          <w:highlight w:val="none"/>
        </w:rPr>
      </w:pPr>
      <w:r>
        <w:rPr>
          <w:rFonts w:hint="eastAsia" w:ascii="宋体" w:hAnsi="宋体" w:eastAsia="宋体" w:cs="宋体"/>
          <w:b/>
          <w:szCs w:val="24"/>
          <w:highlight w:val="none"/>
        </w:rPr>
        <w:br w:type="page"/>
      </w:r>
      <w:bookmarkStart w:id="148" w:name="_Toc467076465"/>
      <w:bookmarkStart w:id="149" w:name="_Toc25474"/>
      <w:bookmarkStart w:id="150" w:name="_Toc467076369"/>
      <w:bookmarkStart w:id="151" w:name="_Toc11038"/>
      <w:bookmarkStart w:id="152" w:name="_Toc453080320"/>
      <w:r>
        <w:rPr>
          <w:rFonts w:hint="eastAsia" w:ascii="宋体" w:hAnsi="宋体" w:eastAsia="宋体" w:cs="宋体"/>
          <w:kern w:val="1"/>
          <w:szCs w:val="24"/>
          <w:highlight w:val="none"/>
        </w:rPr>
        <w:t>附件一：</w:t>
      </w:r>
      <w:r>
        <w:rPr>
          <w:rFonts w:hint="eastAsia" w:ascii="宋体" w:hAnsi="宋体" w:eastAsia="宋体" w:cs="宋体"/>
          <w:b/>
          <w:kern w:val="1"/>
          <w:szCs w:val="24"/>
          <w:highlight w:val="none"/>
        </w:rPr>
        <w:t xml:space="preserve">                </w:t>
      </w:r>
      <w:r>
        <w:rPr>
          <w:rFonts w:hint="eastAsia" w:ascii="宋体" w:hAnsi="宋体" w:eastAsia="宋体" w:cs="宋体"/>
          <w:kern w:val="1"/>
          <w:szCs w:val="24"/>
          <w:highlight w:val="none"/>
        </w:rPr>
        <w:t>文件包装袋封面标贴格式</w:t>
      </w:r>
      <w:bookmarkEnd w:id="148"/>
      <w:bookmarkEnd w:id="149"/>
      <w:bookmarkEnd w:id="150"/>
      <w:bookmarkEnd w:id="151"/>
      <w:bookmarkEnd w:id="152"/>
    </w:p>
    <w:tbl>
      <w:tblPr>
        <w:tblStyle w:val="44"/>
        <w:tblW w:w="9340" w:type="dxa"/>
        <w:tblInd w:w="108" w:type="dxa"/>
        <w:tblLayout w:type="fixed"/>
        <w:tblCellMar>
          <w:top w:w="0" w:type="dxa"/>
          <w:left w:w="108" w:type="dxa"/>
          <w:bottom w:w="0" w:type="dxa"/>
          <w:right w:w="108" w:type="dxa"/>
        </w:tblCellMar>
      </w:tblPr>
      <w:tblGrid>
        <w:gridCol w:w="9340"/>
      </w:tblGrid>
      <w:tr>
        <w:tblPrEx>
          <w:tblLayout w:type="fixed"/>
          <w:tblCellMar>
            <w:top w:w="0" w:type="dxa"/>
            <w:left w:w="108" w:type="dxa"/>
            <w:bottom w:w="0" w:type="dxa"/>
            <w:right w:w="108" w:type="dxa"/>
          </w:tblCellMar>
        </w:tblPrEx>
        <w:trPr>
          <w:trHeight w:val="8253" w:hRule="atLeast"/>
        </w:trPr>
        <w:tc>
          <w:tcPr>
            <w:tcW w:w="9340" w:type="dxa"/>
            <w:tcBorders>
              <w:top w:val="double" w:color="666699" w:sz="4" w:space="0"/>
              <w:left w:val="double" w:color="666699" w:sz="4" w:space="0"/>
              <w:bottom w:val="double" w:color="666699" w:sz="4" w:space="0"/>
              <w:right w:val="double" w:color="666699" w:sz="4" w:space="0"/>
            </w:tcBorders>
            <w:shd w:val="clear" w:color="auto" w:fill="FCFEEA"/>
          </w:tcPr>
          <w:p>
            <w:pPr>
              <w:pStyle w:val="16"/>
              <w:spacing w:after="156" w:line="360" w:lineRule="auto"/>
              <w:jc w:val="center"/>
              <w:rPr>
                <w:rFonts w:hint="eastAsia" w:ascii="宋体" w:hAnsi="宋体" w:eastAsia="宋体" w:cs="宋体"/>
                <w:b/>
                <w:sz w:val="24"/>
                <w:szCs w:val="24"/>
                <w:highlight w:val="none"/>
              </w:rPr>
            </w:pPr>
          </w:p>
          <w:p>
            <w:pPr>
              <w:pStyle w:val="16"/>
              <w:spacing w:after="156"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佛山市公安局政府采购项目</w:t>
            </w:r>
          </w:p>
          <w:p>
            <w:pPr>
              <w:pStyle w:val="16"/>
              <w:spacing w:after="156" w:line="360" w:lineRule="auto"/>
              <w:jc w:val="center"/>
              <w:rPr>
                <w:rFonts w:hint="eastAsia" w:ascii="宋体" w:hAnsi="宋体" w:eastAsia="宋体" w:cs="宋体"/>
                <w:b/>
                <w:kern w:val="1"/>
                <w:sz w:val="24"/>
                <w:szCs w:val="24"/>
                <w:highlight w:val="none"/>
                <w:lang w:val="en-GB"/>
              </w:rPr>
            </w:pPr>
            <w:r>
              <w:rPr>
                <w:rFonts w:hint="eastAsia" w:ascii="宋体" w:hAnsi="宋体" w:eastAsia="宋体" w:cs="宋体"/>
                <w:b/>
                <w:sz w:val="52"/>
                <w:szCs w:val="52"/>
                <w:highlight w:val="none"/>
              </w:rPr>
              <w:t>响 应 文 件</w:t>
            </w:r>
          </w:p>
          <w:p>
            <w:pPr>
              <w:spacing w:line="360" w:lineRule="auto"/>
              <w:jc w:val="center"/>
              <w:rPr>
                <w:rFonts w:hint="eastAsia" w:ascii="宋体" w:hAnsi="宋体" w:eastAsia="宋体" w:cs="宋体"/>
                <w:b/>
                <w:kern w:val="1"/>
                <w:szCs w:val="24"/>
                <w:highlight w:val="none"/>
              </w:rPr>
            </w:pPr>
            <w:r>
              <w:rPr>
                <w:rFonts w:hint="eastAsia" w:ascii="宋体" w:hAnsi="宋体" w:eastAsia="宋体" w:cs="宋体"/>
                <w:b/>
                <w:kern w:val="1"/>
                <w:szCs w:val="24"/>
                <w:highlight w:val="none"/>
                <w:lang w:val="en-GB"/>
              </w:rPr>
              <w:t>密封</w:t>
            </w:r>
            <w:bookmarkStart w:id="153" w:name="_保证金退付书"/>
            <w:bookmarkEnd w:id="153"/>
            <w:bookmarkStart w:id="154" w:name="_Toc49329276"/>
            <w:bookmarkEnd w:id="154"/>
            <w:bookmarkStart w:id="155" w:name="_Toc335295542"/>
            <w:bookmarkEnd w:id="155"/>
            <w:bookmarkStart w:id="156" w:name="_Toc38337722"/>
            <w:bookmarkEnd w:id="156"/>
            <w:r>
              <w:rPr>
                <w:rFonts w:hint="eastAsia" w:ascii="宋体" w:hAnsi="宋体" w:eastAsia="宋体" w:cs="宋体"/>
                <w:b/>
                <w:kern w:val="1"/>
                <w:szCs w:val="24"/>
                <w:highlight w:val="none"/>
                <w:lang w:val="en-GB"/>
              </w:rPr>
              <w:t>内容：</w:t>
            </w:r>
            <w:r>
              <w:rPr>
                <w:rFonts w:hint="eastAsia" w:ascii="宋体" w:hAnsi="宋体" w:eastAsia="宋体" w:cs="宋体"/>
                <w:b/>
                <w:kern w:val="1"/>
                <w:szCs w:val="24"/>
                <w:highlight w:val="none"/>
              </w:rPr>
              <w:t xml:space="preserve">□ </w:t>
            </w:r>
            <w:r>
              <w:rPr>
                <w:rFonts w:hint="eastAsia" w:ascii="宋体" w:hAnsi="宋体" w:eastAsia="宋体" w:cs="宋体"/>
                <w:b/>
                <w:kern w:val="1"/>
                <w:szCs w:val="24"/>
                <w:highlight w:val="none"/>
                <w:lang w:val="en-GB"/>
              </w:rPr>
              <w:t xml:space="preserve">报价信封 / </w:t>
            </w:r>
            <w:r>
              <w:rPr>
                <w:rFonts w:hint="eastAsia" w:ascii="宋体" w:hAnsi="宋体" w:eastAsia="宋体" w:cs="宋体"/>
                <w:b/>
                <w:kern w:val="1"/>
                <w:szCs w:val="24"/>
                <w:highlight w:val="none"/>
              </w:rPr>
              <w:t>□</w:t>
            </w:r>
            <w:bookmarkStart w:id="157" w:name="_Toc108234932"/>
            <w:bookmarkEnd w:id="157"/>
            <w:r>
              <w:rPr>
                <w:rFonts w:hint="eastAsia" w:ascii="宋体" w:hAnsi="宋体" w:eastAsia="宋体" w:cs="宋体"/>
                <w:b/>
                <w:kern w:val="1"/>
                <w:szCs w:val="24"/>
                <w:highlight w:val="none"/>
              </w:rPr>
              <w:t xml:space="preserve"> 正本磋商响应文件 </w:t>
            </w:r>
            <w:r>
              <w:rPr>
                <w:rFonts w:hint="eastAsia" w:ascii="宋体" w:hAnsi="宋体" w:eastAsia="宋体" w:cs="宋体"/>
                <w:b/>
                <w:kern w:val="1"/>
                <w:szCs w:val="24"/>
                <w:highlight w:val="none"/>
                <w:lang w:val="en-GB"/>
              </w:rPr>
              <w:t xml:space="preserve">/ </w:t>
            </w:r>
            <w:r>
              <w:rPr>
                <w:rFonts w:hint="eastAsia" w:ascii="宋体" w:hAnsi="宋体" w:eastAsia="宋体" w:cs="宋体"/>
                <w:b/>
                <w:kern w:val="1"/>
                <w:szCs w:val="24"/>
                <w:highlight w:val="none"/>
              </w:rPr>
              <w:t>□ 副本磋商响应文件</w:t>
            </w:r>
          </w:p>
          <w:p>
            <w:pPr>
              <w:spacing w:after="156" w:line="360" w:lineRule="auto"/>
              <w:jc w:val="center"/>
              <w:rPr>
                <w:rFonts w:hint="eastAsia" w:ascii="宋体" w:hAnsi="宋体" w:eastAsia="宋体" w:cs="宋体"/>
                <w:b/>
                <w:kern w:val="1"/>
                <w:szCs w:val="24"/>
                <w:highlight w:val="none"/>
              </w:rPr>
            </w:pPr>
            <w:r>
              <w:rPr>
                <w:rFonts w:hint="eastAsia" w:ascii="宋体" w:hAnsi="宋体" w:eastAsia="宋体" w:cs="宋体"/>
                <w:kern w:val="1"/>
                <w:szCs w:val="24"/>
                <w:highlight w:val="none"/>
              </w:rPr>
              <w:t>请磋商单位根据递交文件的内容，相应在上“□”处中打“√”</w:t>
            </w:r>
          </w:p>
          <w:p>
            <w:pPr>
              <w:spacing w:line="360" w:lineRule="auto"/>
              <w:ind w:firstLine="1928" w:firstLineChars="800"/>
              <w:rPr>
                <w:rFonts w:hint="eastAsia" w:ascii="宋体" w:hAnsi="宋体" w:eastAsia="宋体" w:cs="宋体"/>
                <w:kern w:val="1"/>
                <w:szCs w:val="24"/>
                <w:highlight w:val="none"/>
              </w:rPr>
            </w:pPr>
            <w:r>
              <w:rPr>
                <w:rFonts w:hint="eastAsia" w:ascii="宋体" w:hAnsi="宋体" w:eastAsia="宋体" w:cs="宋体"/>
                <w:b/>
                <w:kern w:val="1"/>
                <w:szCs w:val="24"/>
                <w:highlight w:val="none"/>
              </w:rPr>
              <w:t>供 应 商：</w:t>
            </w:r>
            <w:r>
              <w:rPr>
                <w:rFonts w:hint="eastAsia" w:ascii="宋体" w:hAnsi="宋体" w:eastAsia="宋体" w:cs="宋体"/>
                <w:b/>
                <w:kern w:val="1"/>
                <w:szCs w:val="24"/>
                <w:highlight w:val="none"/>
                <w:u w:val="single"/>
              </w:rPr>
              <w:t xml:space="preserve">                      </w:t>
            </w:r>
            <w:r>
              <w:rPr>
                <w:rFonts w:hint="eastAsia" w:ascii="宋体" w:hAnsi="宋体" w:eastAsia="宋体" w:cs="宋体"/>
                <w:b/>
                <w:kern w:val="1"/>
                <w:szCs w:val="24"/>
                <w:highlight w:val="none"/>
              </w:rPr>
              <w:t>（盖章）</w:t>
            </w:r>
          </w:p>
          <w:p>
            <w:pPr>
              <w:spacing w:line="360" w:lineRule="auto"/>
              <w:ind w:firstLine="2891" w:firstLineChars="1200"/>
              <w:rPr>
                <w:rFonts w:hint="eastAsia" w:ascii="宋体" w:hAnsi="宋体" w:eastAsia="宋体" w:cs="宋体"/>
                <w:b/>
                <w:kern w:val="1"/>
                <w:szCs w:val="24"/>
                <w:highlight w:val="none"/>
                <w:lang w:eastAsia="zh-CN"/>
              </w:rPr>
            </w:pPr>
            <w:r>
              <w:rPr>
                <w:rFonts w:hint="eastAsia" w:ascii="宋体" w:hAnsi="宋体" w:eastAsia="宋体" w:cs="宋体"/>
                <w:b/>
                <w:kern w:val="1"/>
                <w:szCs w:val="24"/>
                <w:highlight w:val="none"/>
              </w:rPr>
              <w:t>采购项目编号：</w:t>
            </w:r>
            <w:r>
              <w:rPr>
                <w:rFonts w:hint="eastAsia" w:ascii="宋体" w:hAnsi="宋体" w:cs="宋体"/>
                <w:b/>
                <w:kern w:val="1"/>
                <w:szCs w:val="24"/>
                <w:highlight w:val="none"/>
                <w:u w:val="single"/>
                <w:lang w:eastAsia="zh-CN"/>
              </w:rPr>
              <w:t>fsganb20211204</w:t>
            </w:r>
          </w:p>
          <w:p>
            <w:pPr>
              <w:spacing w:line="360" w:lineRule="auto"/>
              <w:ind w:firstLine="118" w:firstLineChars="49"/>
              <w:jc w:val="center"/>
              <w:rPr>
                <w:rFonts w:hint="eastAsia" w:ascii="宋体" w:hAnsi="宋体" w:eastAsia="宋体" w:cs="宋体"/>
                <w:b/>
                <w:kern w:val="1"/>
                <w:szCs w:val="24"/>
                <w:highlight w:val="none"/>
                <w:lang w:eastAsia="zh-CN"/>
              </w:rPr>
            </w:pPr>
            <w:r>
              <w:rPr>
                <w:rFonts w:hint="eastAsia" w:ascii="宋体" w:hAnsi="宋体" w:eastAsia="宋体" w:cs="宋体"/>
                <w:b/>
                <w:kern w:val="1"/>
                <w:szCs w:val="24"/>
                <w:highlight w:val="none"/>
              </w:rPr>
              <w:t>采购项目名称：</w:t>
            </w:r>
            <w:r>
              <w:rPr>
                <w:rFonts w:hint="eastAsia" w:ascii="宋体" w:hAnsi="宋体" w:cs="宋体"/>
                <w:b/>
                <w:kern w:val="1"/>
                <w:szCs w:val="24"/>
                <w:highlight w:val="none"/>
                <w:u w:val="single"/>
                <w:lang w:eastAsia="zh-CN"/>
              </w:rPr>
              <w:t>佛山市公安局森林分局2022年购买警务辅助服务项目（第二次）</w:t>
            </w:r>
          </w:p>
          <w:p>
            <w:pPr>
              <w:spacing w:line="360" w:lineRule="auto"/>
              <w:jc w:val="center"/>
              <w:rPr>
                <w:rFonts w:hint="eastAsia" w:ascii="宋体" w:hAnsi="宋体" w:eastAsia="宋体" w:cs="宋体"/>
                <w:b/>
                <w:kern w:val="1"/>
                <w:szCs w:val="24"/>
                <w:highlight w:val="none"/>
              </w:rPr>
            </w:pPr>
            <w:r>
              <w:rPr>
                <w:rFonts w:hint="eastAsia" w:ascii="宋体" w:hAnsi="宋体" w:eastAsia="宋体" w:cs="宋体"/>
                <w:b/>
                <w:kern w:val="1"/>
                <w:szCs w:val="24"/>
                <w:highlight w:val="none"/>
              </w:rPr>
              <w:t>在</w:t>
            </w:r>
            <w:r>
              <w:rPr>
                <w:rFonts w:hint="eastAsia" w:ascii="宋体" w:hAnsi="宋体" w:eastAsia="宋体" w:cs="宋体"/>
                <w:b/>
                <w:kern w:val="1"/>
                <w:szCs w:val="24"/>
                <w:highlight w:val="none"/>
                <w:u w:val="single"/>
                <w:lang w:eastAsia="zh-CN"/>
              </w:rPr>
              <w:t>202</w:t>
            </w:r>
            <w:r>
              <w:rPr>
                <w:rFonts w:hint="eastAsia" w:ascii="宋体" w:hAnsi="宋体" w:cs="宋体"/>
                <w:b/>
                <w:kern w:val="1"/>
                <w:szCs w:val="24"/>
                <w:highlight w:val="none"/>
                <w:u w:val="single"/>
                <w:lang w:val="en-US" w:eastAsia="zh-CN"/>
              </w:rPr>
              <w:t xml:space="preserve"> </w:t>
            </w:r>
            <w:r>
              <w:rPr>
                <w:rFonts w:hint="eastAsia" w:ascii="宋体" w:hAnsi="宋体" w:eastAsia="宋体" w:cs="宋体"/>
                <w:b/>
                <w:kern w:val="1"/>
                <w:szCs w:val="24"/>
                <w:highlight w:val="none"/>
                <w:u w:val="single"/>
                <w:lang w:eastAsia="zh-CN"/>
              </w:rPr>
              <w:t>年</w:t>
            </w:r>
            <w:r>
              <w:rPr>
                <w:rFonts w:hint="eastAsia" w:ascii="宋体" w:hAnsi="宋体" w:eastAsia="宋体" w:cs="宋体"/>
                <w:b/>
                <w:kern w:val="1"/>
                <w:szCs w:val="24"/>
                <w:highlight w:val="none"/>
                <w:u w:val="single"/>
              </w:rPr>
              <w:t xml:space="preserve">  月  日  午  ：  </w:t>
            </w:r>
            <w:r>
              <w:rPr>
                <w:rFonts w:hint="eastAsia" w:ascii="宋体" w:hAnsi="宋体" w:eastAsia="宋体" w:cs="宋体"/>
                <w:b/>
                <w:kern w:val="1"/>
                <w:szCs w:val="24"/>
                <w:highlight w:val="none"/>
              </w:rPr>
              <w:t>之前不得启封</w:t>
            </w:r>
          </w:p>
          <w:p>
            <w:pPr>
              <w:spacing w:line="360" w:lineRule="auto"/>
              <w:ind w:firstLine="241" w:firstLineChars="100"/>
              <w:rPr>
                <w:rFonts w:hint="eastAsia" w:ascii="宋体" w:hAnsi="宋体" w:eastAsia="宋体" w:cs="宋体"/>
                <w:b/>
                <w:kern w:val="1"/>
                <w:szCs w:val="24"/>
                <w:highlight w:val="none"/>
                <w:lang w:val="en-GB" w:eastAsia="zh-CN"/>
              </w:rPr>
            </w:pPr>
            <w:r>
              <w:rPr>
                <w:rFonts w:hint="eastAsia" w:ascii="宋体" w:hAnsi="宋体" w:eastAsia="宋体" w:cs="宋体"/>
                <w:b/>
                <w:kern w:val="1"/>
                <w:szCs w:val="24"/>
                <w:highlight w:val="none"/>
              </w:rPr>
              <w:t>递交地点：</w:t>
            </w:r>
            <w:r>
              <w:rPr>
                <w:rFonts w:hint="eastAsia" w:ascii="宋体" w:hAnsi="宋体" w:eastAsia="宋体" w:cs="宋体"/>
                <w:b/>
                <w:kern w:val="1"/>
                <w:szCs w:val="24"/>
                <w:highlight w:val="none"/>
                <w:lang w:eastAsia="zh-CN"/>
              </w:rPr>
              <w:t>佛山市禅城区魁奇二路37号佛山市公安局110指挥调度大楼副楼114室</w:t>
            </w:r>
          </w:p>
          <w:p>
            <w:pPr>
              <w:spacing w:line="360" w:lineRule="auto"/>
              <w:ind w:firstLine="470"/>
              <w:jc w:val="left"/>
              <w:rPr>
                <w:rFonts w:hint="eastAsia" w:ascii="宋体" w:hAnsi="宋体" w:eastAsia="宋体" w:cs="宋体"/>
                <w:b/>
                <w:kern w:val="1"/>
                <w:szCs w:val="24"/>
                <w:highlight w:val="none"/>
                <w:lang w:val="en-GB"/>
              </w:rPr>
            </w:pPr>
            <w:r>
              <w:rPr>
                <w:rFonts w:hint="eastAsia" w:ascii="宋体" w:hAnsi="宋体" w:eastAsia="宋体" w:cs="宋体"/>
                <w:b/>
                <w:kern w:val="1"/>
                <w:szCs w:val="24"/>
                <w:highlight w:val="none"/>
                <w:lang w:val="en-GB"/>
              </w:rPr>
              <w:t>1、声明：同意由递交磋商响应文件登记顺序的前</w:t>
            </w:r>
            <w:r>
              <w:rPr>
                <w:rFonts w:hint="eastAsia" w:ascii="宋体" w:hAnsi="宋体" w:cs="宋体"/>
                <w:b/>
                <w:kern w:val="1"/>
                <w:szCs w:val="24"/>
                <w:highlight w:val="none"/>
                <w:lang w:val="en-GB" w:eastAsia="zh-CN"/>
              </w:rPr>
              <w:t>两</w:t>
            </w:r>
            <w:r>
              <w:rPr>
                <w:rFonts w:hint="eastAsia" w:ascii="宋体" w:hAnsi="宋体" w:eastAsia="宋体" w:cs="宋体"/>
                <w:b/>
                <w:kern w:val="1"/>
                <w:szCs w:val="24"/>
                <w:highlight w:val="none"/>
                <w:lang w:val="en-GB"/>
              </w:rPr>
              <w:t>名供应商，将作为集中推选的代表，现场对所有磋商响应文件进行密封性检查。</w:t>
            </w:r>
          </w:p>
          <w:p>
            <w:pPr>
              <w:spacing w:line="360" w:lineRule="auto"/>
              <w:ind w:right="238" w:firstLine="472"/>
              <w:jc w:val="left"/>
              <w:rPr>
                <w:rFonts w:hint="eastAsia" w:ascii="宋体" w:hAnsi="宋体" w:eastAsia="宋体" w:cs="宋体"/>
                <w:b/>
                <w:kern w:val="1"/>
                <w:szCs w:val="24"/>
                <w:highlight w:val="none"/>
              </w:rPr>
            </w:pPr>
            <w:r>
              <w:rPr>
                <w:rFonts w:hint="eastAsia" w:ascii="宋体" w:hAnsi="宋体" w:eastAsia="宋体" w:cs="宋体"/>
                <w:b/>
                <w:kern w:val="1"/>
                <w:szCs w:val="24"/>
                <w:highlight w:val="none"/>
              </w:rPr>
              <w:t>2、提示：供应商的授权代表必须携带本人身份证亲自递交磋商响应文件和出席磋商全程；并响应评委会的要求在规定合理时间内到达评审现场处理磋商相关事宜。</w:t>
            </w:r>
          </w:p>
        </w:tc>
      </w:tr>
    </w:tbl>
    <w:p>
      <w:pPr>
        <w:spacing w:line="360" w:lineRule="auto"/>
        <w:rPr>
          <w:rFonts w:hint="eastAsia" w:ascii="宋体" w:hAnsi="宋体" w:eastAsia="宋体" w:cs="宋体"/>
          <w:b/>
          <w:kern w:val="1"/>
          <w:sz w:val="21"/>
          <w:szCs w:val="21"/>
          <w:highlight w:val="none"/>
          <w:lang w:val="en-GB"/>
        </w:rPr>
      </w:pPr>
      <w:r>
        <w:rPr>
          <w:rFonts w:hint="eastAsia" w:ascii="宋体" w:hAnsi="宋体" w:eastAsia="宋体" w:cs="宋体"/>
          <w:b/>
          <w:kern w:val="1"/>
          <w:sz w:val="21"/>
          <w:szCs w:val="21"/>
          <w:highlight w:val="none"/>
          <w:lang w:val="en-GB"/>
        </w:rPr>
        <w:t>注意事项</w:t>
      </w:r>
    </w:p>
    <w:p>
      <w:pPr>
        <w:spacing w:line="360" w:lineRule="auto"/>
        <w:outlineLvl w:val="0"/>
        <w:rPr>
          <w:rFonts w:hint="eastAsia" w:ascii="宋体" w:hAnsi="宋体" w:eastAsia="宋体" w:cs="宋体"/>
          <w:kern w:val="1"/>
          <w:sz w:val="21"/>
          <w:szCs w:val="21"/>
          <w:highlight w:val="none"/>
          <w:lang w:val="en-GB"/>
        </w:rPr>
      </w:pPr>
      <w:bookmarkStart w:id="158" w:name="_Toc24666"/>
      <w:bookmarkStart w:id="159" w:name="_Toc4051"/>
      <w:r>
        <w:rPr>
          <w:rFonts w:hint="eastAsia" w:ascii="宋体" w:hAnsi="宋体" w:eastAsia="宋体" w:cs="宋体"/>
          <w:kern w:val="1"/>
          <w:sz w:val="21"/>
          <w:szCs w:val="21"/>
          <w:highlight w:val="none"/>
          <w:lang w:val="en-GB"/>
        </w:rPr>
        <w:t>一、报价信封另单独封装，并按下列顺序装订：</w:t>
      </w:r>
      <w:bookmarkEnd w:id="158"/>
      <w:bookmarkEnd w:id="159"/>
    </w:p>
    <w:p>
      <w:pPr>
        <w:tabs>
          <w:tab w:val="left" w:pos="900"/>
        </w:tabs>
        <w:spacing w:line="360" w:lineRule="auto"/>
        <w:ind w:firstLine="525" w:firstLineChars="25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lang w:val="en-GB"/>
        </w:rPr>
        <w:t>1.《报价一览表》原件（须加盖公章）；</w:t>
      </w:r>
    </w:p>
    <w:p>
      <w:pPr>
        <w:tabs>
          <w:tab w:val="left" w:pos="900"/>
        </w:tabs>
        <w:spacing w:line="360" w:lineRule="auto"/>
        <w:ind w:left="54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rPr>
        <w:t>2.</w:t>
      </w:r>
      <w:r>
        <w:rPr>
          <w:rFonts w:hint="eastAsia" w:ascii="宋体" w:hAnsi="宋体" w:eastAsia="宋体" w:cs="宋体"/>
          <w:kern w:val="1"/>
          <w:sz w:val="21"/>
          <w:szCs w:val="21"/>
          <w:highlight w:val="none"/>
          <w:lang w:val="en-GB"/>
        </w:rPr>
        <w:t>授权书原件（须加盖公章）；</w:t>
      </w:r>
    </w:p>
    <w:p>
      <w:pPr>
        <w:tabs>
          <w:tab w:val="left" w:pos="900"/>
        </w:tabs>
        <w:spacing w:line="360" w:lineRule="auto"/>
        <w:ind w:left="54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rPr>
        <w:t>3.</w:t>
      </w:r>
      <w:r>
        <w:rPr>
          <w:rFonts w:hint="eastAsia" w:ascii="宋体" w:hAnsi="宋体" w:eastAsia="宋体" w:cs="宋体"/>
          <w:kern w:val="1"/>
          <w:sz w:val="21"/>
          <w:szCs w:val="21"/>
          <w:highlight w:val="none"/>
          <w:lang w:val="en-GB"/>
        </w:rPr>
        <w:t>磋商响应文件电子文档。</w:t>
      </w:r>
    </w:p>
    <w:p>
      <w:pPr>
        <w:spacing w:line="360" w:lineRule="auto"/>
        <w:outlineLvl w:val="0"/>
        <w:rPr>
          <w:rFonts w:hint="eastAsia" w:ascii="宋体" w:hAnsi="宋体" w:eastAsia="宋体" w:cs="宋体"/>
          <w:kern w:val="1"/>
          <w:sz w:val="21"/>
          <w:szCs w:val="21"/>
          <w:highlight w:val="none"/>
          <w:lang w:val="en-GB"/>
        </w:rPr>
      </w:pPr>
      <w:bookmarkStart w:id="160" w:name="_Toc11742"/>
      <w:bookmarkStart w:id="161" w:name="_Toc6826"/>
      <w:r>
        <w:rPr>
          <w:rFonts w:hint="eastAsia" w:ascii="宋体" w:hAnsi="宋体" w:eastAsia="宋体" w:cs="宋体"/>
          <w:kern w:val="1"/>
          <w:sz w:val="21"/>
          <w:szCs w:val="21"/>
          <w:highlight w:val="none"/>
          <w:lang w:val="en-GB"/>
        </w:rPr>
        <w:t>二、重要提示：</w:t>
      </w:r>
      <w:bookmarkEnd w:id="160"/>
      <w:bookmarkEnd w:id="161"/>
    </w:p>
    <w:p>
      <w:pPr>
        <w:tabs>
          <w:tab w:val="left" w:pos="900"/>
        </w:tabs>
        <w:spacing w:line="360" w:lineRule="auto"/>
        <w:ind w:firstLine="525" w:firstLineChars="25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lang w:val="en-GB"/>
        </w:rPr>
        <w:t>1. 报价信封与</w:t>
      </w:r>
      <w:r>
        <w:rPr>
          <w:rFonts w:hint="eastAsia" w:ascii="宋体" w:hAnsi="宋体" w:eastAsia="宋体" w:cs="宋体"/>
          <w:kern w:val="1"/>
          <w:sz w:val="21"/>
          <w:szCs w:val="21"/>
          <w:highlight w:val="none"/>
        </w:rPr>
        <w:t>正、副本</w:t>
      </w:r>
      <w:r>
        <w:rPr>
          <w:rFonts w:hint="eastAsia" w:ascii="宋体" w:hAnsi="宋体" w:eastAsia="宋体" w:cs="宋体"/>
          <w:kern w:val="1"/>
          <w:sz w:val="21"/>
          <w:szCs w:val="21"/>
          <w:highlight w:val="none"/>
          <w:lang w:val="en-GB"/>
        </w:rPr>
        <w:t>必须分开单独封装并标贴此封面，密封口处须加盖公章或授权代表签名。</w:t>
      </w:r>
    </w:p>
    <w:p>
      <w:pPr>
        <w:spacing w:line="360" w:lineRule="auto"/>
        <w:ind w:firstLine="505" w:firstLineChars="250"/>
        <w:rPr>
          <w:rFonts w:hint="eastAsia" w:ascii="宋体" w:hAnsi="宋体" w:eastAsia="宋体" w:cs="宋体"/>
          <w:kern w:val="1"/>
          <w:sz w:val="21"/>
          <w:szCs w:val="21"/>
          <w:highlight w:val="none"/>
        </w:rPr>
      </w:pPr>
      <w:r>
        <w:rPr>
          <w:rFonts w:hint="eastAsia" w:ascii="宋体" w:hAnsi="宋体" w:eastAsia="宋体" w:cs="宋体"/>
          <w:spacing w:val="-4"/>
          <w:kern w:val="1"/>
          <w:sz w:val="21"/>
          <w:szCs w:val="21"/>
          <w:highlight w:val="none"/>
        </w:rPr>
        <w:t>2. 因交通及停车或有不便，递交响应文件时务请提早到达！</w:t>
      </w:r>
    </w:p>
    <w:p>
      <w:pPr>
        <w:spacing w:line="360" w:lineRule="auto"/>
        <w:rPr>
          <w:rFonts w:hint="eastAsia" w:ascii="宋体" w:hAnsi="宋体" w:eastAsia="宋体" w:cs="宋体"/>
          <w:szCs w:val="24"/>
          <w:highlight w:val="none"/>
          <w:lang w:val="en-GB"/>
        </w:rPr>
      </w:pPr>
    </w:p>
    <w:sectPr>
      <w:footerReference r:id="rId10" w:type="first"/>
      <w:pgSz w:w="11906" w:h="16838"/>
      <w:pgMar w:top="1247" w:right="1304" w:bottom="1247" w:left="1304" w:header="777" w:footer="71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erif">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2520" w:firstLineChars="14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3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L&#10;3UTQAAAAAgEAAA8AAAAAAAAAAQAgAAAAIgAAAGRycy9kb3ducmV2LnhtbFBLAQIUABQAAAAIAIdO&#10;4kApSPXB8gEAALYDAAAOAAAAAAAAAAEAIAAAAB8BAABkcnMvZTJvRG9jLnhtbFBLBQYAAAAABgAG&#10;AFkBAACDBQ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2520" w:firstLineChars="14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3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4vd&#10;RNAAAAACAQAADwAAAAAAAAABACAAAAAiAAAAZHJzL2Rvd25yZXYueG1sUEsBAhQAFAAAAAgAh07i&#10;QHUFMp3xAQAAtgMAAA4AAAAAAAAAAQAgAAAAHwEAAGRycy9lMm9Eb2MueG1sUEsFBgAAAAAGAAYA&#10;WQEAAIIFA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040"/>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0"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L&#10;3UTQAAAAAgEAAA8AAAAAAAAAAQAgAAAAIgAAAGRycy9kb3ducmV2LnhtbFBLAQIUABQAAAAIAIdO&#10;4kBO6zhb8gEAALYDAAAOAAAAAAAAAAEAIAAAAB8BAABkcnMvZTJvRG9jLnhtbFBLBQYAAAAABgAG&#10;AFkBAACDBQ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left:0pt;margin-top:0pt;height:144pt;width:144p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DVu+y6&#10;7QEAALkDAAAOAAAAAAAAAAEAIAAAAB4BAABkcnMvZTJvRG9jLnhtbFBLBQYAAAAABgAGAFkBAAB9&#10;BQAAAAA=&#10;">
              <v:fill on="f" focussize="0,0"/>
              <v:stroke on="f"/>
              <v:imagedata o:title=""/>
              <o:lock v:ext="edit" aspectratio="f"/>
              <v:textbox inset="0mm,0mm,0mm,0mm" style="mso-fit-shape-to-text:t;">
                <w:txbxContent>
                  <w:p>
                    <w:pPr>
                      <w:pStyle w:val="2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ascii="宋体" w:hAnsi="宋体"/>
        <w:u w:val="single"/>
      </w:rPr>
      <w:drawing>
        <wp:inline distT="0" distB="0" distL="114300" distR="114300">
          <wp:extent cx="638810" cy="638810"/>
          <wp:effectExtent l="0" t="0" r="8890" b="8890"/>
          <wp:docPr id="8" name="图片 8" descr="微信图片_2021082608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826084008"/>
                  <pic:cNvPicPr>
                    <a:picLocks noChangeAspect="1"/>
                  </pic:cNvPicPr>
                </pic:nvPicPr>
                <pic:blipFill>
                  <a:blip r:embed="rId1"/>
                  <a:stretch>
                    <a:fillRect/>
                  </a:stretch>
                </pic:blipFill>
                <pic:spPr>
                  <a:xfrm>
                    <a:off x="0" y="0"/>
                    <a:ext cx="638810" cy="638810"/>
                  </a:xfrm>
                  <a:prstGeom prst="rect">
                    <a:avLst/>
                  </a:prstGeom>
                </pic:spPr>
              </pic:pic>
            </a:graphicData>
          </a:graphic>
        </wp:inline>
      </w:drawing>
    </w:r>
    <w:r>
      <w:rPr>
        <w:rFonts w:hint="eastAsia" w:ascii="宋体" w:hAnsi="宋体"/>
        <w:u w:val="single"/>
      </w:rPr>
      <w:t xml:space="preserve">                         </w:t>
    </w:r>
    <w:r>
      <w:rPr>
        <w:rFonts w:hint="eastAsia" w:ascii="宋体" w:hAnsi="宋体"/>
        <w:sz w:val="16"/>
        <w:szCs w:val="15"/>
        <w:u w:val="single"/>
        <w:lang w:eastAsia="zh-CN"/>
      </w:rPr>
      <w:t>佛山市公安局森林分局2022年购买警务辅助服务项目（第二次）</w:t>
    </w:r>
    <w:r>
      <w:rPr>
        <w:rFonts w:hint="eastAsia" w:ascii="宋体" w:hAnsi="宋体"/>
        <w:sz w:val="16"/>
        <w:szCs w:val="15"/>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ind w:left="1080" w:hanging="1080" w:hangingChars="600"/>
      <w:jc w:val="both"/>
      <w:rPr>
        <w:rFonts w:hint="eastAsia" w:eastAsia="宋体"/>
        <w:lang w:eastAsia="zh-CN"/>
      </w:rPr>
    </w:pPr>
    <w:r>
      <w:rPr>
        <w:rFonts w:hint="eastAsia" w:ascii="宋体" w:hAnsi="宋体"/>
      </w:rPr>
      <w:drawing>
        <wp:inline distT="0" distB="0" distL="114300" distR="114300">
          <wp:extent cx="617220" cy="617220"/>
          <wp:effectExtent l="0" t="0" r="11430" b="11430"/>
          <wp:docPr id="1" name="图片 1" descr="微信图片_2021082608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26084008"/>
                  <pic:cNvPicPr>
                    <a:picLocks noChangeAspect="1"/>
                  </pic:cNvPicPr>
                </pic:nvPicPr>
                <pic:blipFill>
                  <a:blip r:embed="rId1"/>
                  <a:stretch>
                    <a:fillRect/>
                  </a:stretch>
                </pic:blipFill>
                <pic:spPr>
                  <a:xfrm>
                    <a:off x="0" y="0"/>
                    <a:ext cx="617220" cy="617220"/>
                  </a:xfrm>
                  <a:prstGeom prst="rect">
                    <a:avLst/>
                  </a:prstGeom>
                </pic:spPr>
              </pic:pic>
            </a:graphicData>
          </a:graphic>
        </wp:inline>
      </w:drawing>
    </w:r>
    <w:r>
      <w:rPr>
        <w:rFonts w:hint="eastAsia" w:ascii="宋体" w:hAnsi="宋体"/>
      </w:rPr>
      <w:t xml:space="preserve">                               </w:t>
    </w:r>
    <w:r>
      <w:rPr>
        <w:rFonts w:hint="eastAsia" w:ascii="宋体" w:hAnsi="宋体"/>
        <w:lang w:val="en-US" w:eastAsia="zh-CN"/>
      </w:rPr>
      <w:t xml:space="preserve">      </w:t>
    </w:r>
    <w:r>
      <w:rPr>
        <w:rFonts w:hint="eastAsia" w:ascii="宋体" w:hAnsi="宋体"/>
        <w:szCs w:val="21"/>
        <w:lang w:eastAsia="zh-CN"/>
      </w:rPr>
      <w:t>佛山市公安局森林分局2022年购买警务辅助服务项目（第二次）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857CA"/>
    <w:multiLevelType w:val="singleLevel"/>
    <w:tmpl w:val="97B857CA"/>
    <w:lvl w:ilvl="0" w:tentative="0">
      <w:start w:val="1"/>
      <w:numFmt w:val="decimal"/>
      <w:lvlText w:val="%1."/>
      <w:lvlJc w:val="left"/>
      <w:pPr>
        <w:tabs>
          <w:tab w:val="left" w:pos="312"/>
        </w:tabs>
      </w:pPr>
    </w:lvl>
  </w:abstractNum>
  <w:abstractNum w:abstractNumId="1">
    <w:nsid w:val="BA5A57BD"/>
    <w:multiLevelType w:val="singleLevel"/>
    <w:tmpl w:val="BA5A57BD"/>
    <w:lvl w:ilvl="0" w:tentative="0">
      <w:start w:val="1"/>
      <w:numFmt w:val="decimal"/>
      <w:suff w:val="space"/>
      <w:lvlText w:val="%1."/>
      <w:lvlJc w:val="left"/>
    </w:lvl>
  </w:abstractNum>
  <w:abstractNum w:abstractNumId="2">
    <w:nsid w:val="F4615304"/>
    <w:multiLevelType w:val="multilevel"/>
    <w:tmpl w:val="F4615304"/>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
    <w:nsid w:val="F7B789F0"/>
    <w:multiLevelType w:val="singleLevel"/>
    <w:tmpl w:val="F7B789F0"/>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
    <w:nsid w:val="00000014"/>
    <w:multiLevelType w:val="multilevel"/>
    <w:tmpl w:val="0000001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9"/>
    <w:multiLevelType w:val="multilevel"/>
    <w:tmpl w:val="00000019"/>
    <w:lvl w:ilvl="0" w:tentative="0">
      <w:start w:val="1"/>
      <w:numFmt w:val="decimalEnclosedCircle"/>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7">
    <w:nsid w:val="0000001E"/>
    <w:multiLevelType w:val="multilevel"/>
    <w:tmpl w:val="0000001E"/>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8">
    <w:nsid w:val="0000001F"/>
    <w:multiLevelType w:val="multilevel"/>
    <w:tmpl w:val="0000001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1"/>
    <w:multiLevelType w:val="multilevel"/>
    <w:tmpl w:val="0000002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0">
    <w:nsid w:val="00000025"/>
    <w:multiLevelType w:val="multilevel"/>
    <w:tmpl w:val="0000002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1">
    <w:nsid w:val="00000027"/>
    <w:multiLevelType w:val="multilevel"/>
    <w:tmpl w:val="00000027"/>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B"/>
    <w:multiLevelType w:val="multilevel"/>
    <w:tmpl w:val="0000002B"/>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C"/>
    <w:multiLevelType w:val="multilevel"/>
    <w:tmpl w:val="0000002C"/>
    <w:lvl w:ilvl="0" w:tentative="0">
      <w:start w:val="1"/>
      <w:numFmt w:val="bullet"/>
      <w:lvlText w:val=""/>
      <w:lvlJc w:val="left"/>
      <w:pPr>
        <w:ind w:left="1021" w:hanging="420"/>
      </w:pPr>
      <w:rPr>
        <w:rFonts w:hint="default" w:ascii="Wingdings" w:hAnsi="Wingdings"/>
      </w:rPr>
    </w:lvl>
    <w:lvl w:ilvl="1" w:tentative="0">
      <w:start w:val="1"/>
      <w:numFmt w:val="bullet"/>
      <w:lvlText w:val=""/>
      <w:lvlJc w:val="left"/>
      <w:pPr>
        <w:ind w:left="1441" w:hanging="420"/>
      </w:pPr>
      <w:rPr>
        <w:rFonts w:hint="default" w:ascii="Wingdings" w:hAnsi="Wingdings"/>
      </w:rPr>
    </w:lvl>
    <w:lvl w:ilvl="2" w:tentative="0">
      <w:start w:val="1"/>
      <w:numFmt w:val="bullet"/>
      <w:lvlText w:val=""/>
      <w:lvlJc w:val="left"/>
      <w:pPr>
        <w:ind w:left="1861" w:hanging="420"/>
      </w:pPr>
      <w:rPr>
        <w:rFonts w:hint="default" w:ascii="Wingdings" w:hAnsi="Wingdings"/>
      </w:rPr>
    </w:lvl>
    <w:lvl w:ilvl="3" w:tentative="0">
      <w:start w:val="1"/>
      <w:numFmt w:val="bullet"/>
      <w:lvlText w:val=""/>
      <w:lvlJc w:val="left"/>
      <w:pPr>
        <w:ind w:left="2281" w:hanging="420"/>
      </w:pPr>
      <w:rPr>
        <w:rFonts w:hint="default" w:ascii="Wingdings" w:hAnsi="Wingdings"/>
      </w:rPr>
    </w:lvl>
    <w:lvl w:ilvl="4" w:tentative="0">
      <w:start w:val="1"/>
      <w:numFmt w:val="bullet"/>
      <w:lvlText w:val=""/>
      <w:lvlJc w:val="left"/>
      <w:pPr>
        <w:ind w:left="2701" w:hanging="420"/>
      </w:pPr>
      <w:rPr>
        <w:rFonts w:hint="default" w:ascii="Wingdings" w:hAnsi="Wingdings"/>
      </w:rPr>
    </w:lvl>
    <w:lvl w:ilvl="5" w:tentative="0">
      <w:start w:val="1"/>
      <w:numFmt w:val="bullet"/>
      <w:lvlText w:val=""/>
      <w:lvlJc w:val="left"/>
      <w:pPr>
        <w:ind w:left="3121" w:hanging="420"/>
      </w:pPr>
      <w:rPr>
        <w:rFonts w:hint="default" w:ascii="Wingdings" w:hAnsi="Wingdings"/>
      </w:rPr>
    </w:lvl>
    <w:lvl w:ilvl="6" w:tentative="0">
      <w:start w:val="1"/>
      <w:numFmt w:val="bullet"/>
      <w:lvlText w:val=""/>
      <w:lvlJc w:val="left"/>
      <w:pPr>
        <w:ind w:left="3541" w:hanging="420"/>
      </w:pPr>
      <w:rPr>
        <w:rFonts w:hint="default" w:ascii="Wingdings" w:hAnsi="Wingdings"/>
      </w:rPr>
    </w:lvl>
    <w:lvl w:ilvl="7" w:tentative="0">
      <w:start w:val="1"/>
      <w:numFmt w:val="bullet"/>
      <w:lvlText w:val=""/>
      <w:lvlJc w:val="left"/>
      <w:pPr>
        <w:ind w:left="3961" w:hanging="420"/>
      </w:pPr>
      <w:rPr>
        <w:rFonts w:hint="default" w:ascii="Wingdings" w:hAnsi="Wingdings"/>
      </w:rPr>
    </w:lvl>
    <w:lvl w:ilvl="8" w:tentative="0">
      <w:start w:val="1"/>
      <w:numFmt w:val="bullet"/>
      <w:lvlText w:val=""/>
      <w:lvlJc w:val="left"/>
      <w:pPr>
        <w:ind w:left="4381" w:hanging="420"/>
      </w:pPr>
      <w:rPr>
        <w:rFonts w:hint="default" w:ascii="Wingdings" w:hAnsi="Wingdings"/>
      </w:rPr>
    </w:lvl>
  </w:abstractNum>
  <w:abstractNum w:abstractNumId="14">
    <w:nsid w:val="0000002D"/>
    <w:multiLevelType w:val="multilevel"/>
    <w:tmpl w:val="0000002D"/>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F"/>
    <w:multiLevelType w:val="multilevel"/>
    <w:tmpl w:val="0000002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2"/>
    <w:multiLevelType w:val="multilevel"/>
    <w:tmpl w:val="00000032"/>
    <w:lvl w:ilvl="0" w:tentative="0">
      <w:start w:val="1"/>
      <w:numFmt w:val="decimal"/>
      <w:lvlText w:val="6.%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3"/>
    <w:multiLevelType w:val="multilevel"/>
    <w:tmpl w:val="0000003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8">
    <w:nsid w:val="07AF6A6C"/>
    <w:multiLevelType w:val="multilevel"/>
    <w:tmpl w:val="07AF6A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7BFAC3A"/>
    <w:multiLevelType w:val="singleLevel"/>
    <w:tmpl w:val="07BFAC3A"/>
    <w:lvl w:ilvl="0" w:tentative="0">
      <w:start w:val="1"/>
      <w:numFmt w:val="decimal"/>
      <w:suff w:val="nothing"/>
      <w:lvlText w:val="%1．"/>
      <w:lvlJc w:val="left"/>
      <w:pPr>
        <w:ind w:left="0" w:firstLine="400"/>
      </w:pPr>
      <w:rPr>
        <w:rFonts w:hint="default"/>
      </w:rPr>
    </w:lvl>
  </w:abstractNum>
  <w:abstractNum w:abstractNumId="20">
    <w:nsid w:val="0E9D3F67"/>
    <w:multiLevelType w:val="multilevel"/>
    <w:tmpl w:val="0E9D3F6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1">
    <w:nsid w:val="1B1368E8"/>
    <w:multiLevelType w:val="multilevel"/>
    <w:tmpl w:val="1B1368E8"/>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08C65EE"/>
    <w:multiLevelType w:val="multilevel"/>
    <w:tmpl w:val="208C65EE"/>
    <w:lvl w:ilvl="0" w:tentative="0">
      <w:start w:val="1"/>
      <w:numFmt w:val="decimal"/>
      <w:lvlText w:val="2.%1."/>
      <w:lvlJc w:val="left"/>
      <w:pPr>
        <w:tabs>
          <w:tab w:val="left" w:pos="510"/>
        </w:tabs>
        <w:ind w:left="510" w:hanging="510"/>
      </w:pPr>
      <w:rPr>
        <w:rFonts w:hint="default" w:ascii="Times New Roman" w:hAnsi="Times New Roman"/>
        <w:b/>
        <w:i w:val="0"/>
        <w:sz w:val="24"/>
      </w:rPr>
    </w:lvl>
    <w:lvl w:ilvl="1" w:tentative="0">
      <w:start w:val="1"/>
      <w:numFmt w:val="decimal"/>
      <w:lvlText w:val="3.%2."/>
      <w:lvlJc w:val="left"/>
      <w:pPr>
        <w:tabs>
          <w:tab w:val="left" w:pos="510"/>
        </w:tabs>
        <w:ind w:left="510" w:hanging="510"/>
      </w:pPr>
      <w:rPr>
        <w:rFonts w:hint="default" w:ascii="Times New Roman" w:hAnsi="Times New Roman"/>
        <w:b/>
        <w:i w:val="0"/>
        <w:color w:val="auto"/>
        <w:sz w:val="24"/>
        <w:szCs w:val="24"/>
      </w:rPr>
    </w:lvl>
    <w:lvl w:ilvl="2" w:tentative="0">
      <w:start w:val="1"/>
      <w:numFmt w:val="decimal"/>
      <w:lvlText w:val="%3."/>
      <w:lvlJc w:val="left"/>
      <w:pPr>
        <w:tabs>
          <w:tab w:val="left" w:pos="510"/>
        </w:tabs>
        <w:ind w:left="510" w:hanging="510"/>
      </w:pPr>
      <w:rPr>
        <w:rFonts w:hint="eastAsia"/>
        <w:b w:val="0"/>
        <w:i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29866BD"/>
    <w:multiLevelType w:val="multilevel"/>
    <w:tmpl w:val="229866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4202A42"/>
    <w:multiLevelType w:val="multilevel"/>
    <w:tmpl w:val="24202A4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5FB3965"/>
    <w:multiLevelType w:val="multilevel"/>
    <w:tmpl w:val="25FB3965"/>
    <w:lvl w:ilvl="0" w:tentative="0">
      <w:start w:val="1"/>
      <w:numFmt w:val="decimal"/>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624"/>
        </w:tabs>
        <w:ind w:left="624" w:hanging="624"/>
      </w:pPr>
      <w:rPr>
        <w:rFonts w:hint="default" w:ascii="Times New Roman" w:hAnsi="Times New Roman"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6">
    <w:nsid w:val="28021112"/>
    <w:multiLevelType w:val="multilevel"/>
    <w:tmpl w:val="2802111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EDD1009"/>
    <w:multiLevelType w:val="multilevel"/>
    <w:tmpl w:val="2EDD1009"/>
    <w:lvl w:ilvl="0" w:tentative="0">
      <w:start w:val="1"/>
      <w:numFmt w:val="decimal"/>
      <w:lvlText w:val="(%1)"/>
      <w:lvlJc w:val="left"/>
      <w:pPr>
        <w:tabs>
          <w:tab w:val="left" w:pos="510"/>
        </w:tabs>
        <w:ind w:left="510" w:hanging="510"/>
      </w:pPr>
      <w:rPr>
        <w:rFonts w:hint="eastAsia" w:ascii="宋体" w:hAnsi="宋体" w:eastAsia="宋体"/>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0F43C53"/>
    <w:multiLevelType w:val="multilevel"/>
    <w:tmpl w:val="30F43C5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9">
    <w:nsid w:val="349162B8"/>
    <w:multiLevelType w:val="multilevel"/>
    <w:tmpl w:val="349162B8"/>
    <w:lvl w:ilvl="0" w:tentative="0">
      <w:start w:val="1"/>
      <w:numFmt w:val="decimal"/>
      <w:lvlText w:val="5.%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35095B27"/>
    <w:multiLevelType w:val="multilevel"/>
    <w:tmpl w:val="35095B2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1">
    <w:nsid w:val="35BF7E9F"/>
    <w:multiLevelType w:val="singleLevel"/>
    <w:tmpl w:val="35BF7E9F"/>
    <w:lvl w:ilvl="0" w:tentative="0">
      <w:start w:val="1"/>
      <w:numFmt w:val="decimal"/>
      <w:lvlText w:val="%1."/>
      <w:lvlJc w:val="left"/>
      <w:pPr>
        <w:tabs>
          <w:tab w:val="left" w:pos="312"/>
        </w:tabs>
      </w:pPr>
    </w:lvl>
  </w:abstractNum>
  <w:abstractNum w:abstractNumId="32">
    <w:nsid w:val="35F94F35"/>
    <w:multiLevelType w:val="multilevel"/>
    <w:tmpl w:val="35F94F3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6C31357"/>
    <w:multiLevelType w:val="multilevel"/>
    <w:tmpl w:val="36C3135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4">
    <w:nsid w:val="390D6FAD"/>
    <w:multiLevelType w:val="multilevel"/>
    <w:tmpl w:val="390D6FA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ABF734D"/>
    <w:multiLevelType w:val="multilevel"/>
    <w:tmpl w:val="3ABF734D"/>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B944D48"/>
    <w:multiLevelType w:val="multilevel"/>
    <w:tmpl w:val="3B944D48"/>
    <w:lvl w:ilvl="0" w:tentative="0">
      <w:start w:val="1"/>
      <w:numFmt w:val="decimal"/>
      <w:lvlText w:val="2.%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japaneseCounting"/>
      <w:lvlText w:val="%4、"/>
      <w:lvlJc w:val="left"/>
      <w:pPr>
        <w:ind w:left="1680" w:hanging="420"/>
      </w:pPr>
      <w:rPr>
        <w:rFonts w:hint="default"/>
        <w:b w:val="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3BF72AF3"/>
    <w:multiLevelType w:val="multilevel"/>
    <w:tmpl w:val="3BF72AF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C222AF1"/>
    <w:multiLevelType w:val="multilevel"/>
    <w:tmpl w:val="3C222AF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9">
    <w:nsid w:val="3CB40234"/>
    <w:multiLevelType w:val="multilevel"/>
    <w:tmpl w:val="3CB40234"/>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3E507815"/>
    <w:multiLevelType w:val="singleLevel"/>
    <w:tmpl w:val="3E507815"/>
    <w:lvl w:ilvl="0" w:tentative="0">
      <w:start w:val="2"/>
      <w:numFmt w:val="chineseCounting"/>
      <w:suff w:val="nothing"/>
      <w:lvlText w:val="（%1）"/>
      <w:lvlJc w:val="left"/>
      <w:rPr>
        <w:rFonts w:hint="eastAsia"/>
      </w:rPr>
    </w:lvl>
  </w:abstractNum>
  <w:abstractNum w:abstractNumId="41">
    <w:nsid w:val="3F874D22"/>
    <w:multiLevelType w:val="multilevel"/>
    <w:tmpl w:val="3F874D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4A7B0622"/>
    <w:multiLevelType w:val="multilevel"/>
    <w:tmpl w:val="4A7B06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BF945CC"/>
    <w:multiLevelType w:val="multilevel"/>
    <w:tmpl w:val="4BF945C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0DB1AD6"/>
    <w:multiLevelType w:val="multilevel"/>
    <w:tmpl w:val="50DB1AD6"/>
    <w:lvl w:ilvl="0" w:tentative="0">
      <w:start w:val="1"/>
      <w:numFmt w:val="decimal"/>
      <w:lvlText w:val="4.%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56315290"/>
    <w:multiLevelType w:val="multilevel"/>
    <w:tmpl w:val="56315290"/>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576F76A1"/>
    <w:multiLevelType w:val="multilevel"/>
    <w:tmpl w:val="576F76A1"/>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9B7158E"/>
    <w:multiLevelType w:val="multilevel"/>
    <w:tmpl w:val="59B715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C0B5CB3"/>
    <w:multiLevelType w:val="multilevel"/>
    <w:tmpl w:val="5C0B5CB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5D59774D"/>
    <w:multiLevelType w:val="multilevel"/>
    <w:tmpl w:val="5D59774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0">
    <w:nsid w:val="5ED002F9"/>
    <w:multiLevelType w:val="singleLevel"/>
    <w:tmpl w:val="5ED002F9"/>
    <w:lvl w:ilvl="0" w:tentative="0">
      <w:start w:val="1"/>
      <w:numFmt w:val="decimal"/>
      <w:suff w:val="nothing"/>
      <w:lvlText w:val="%1、"/>
      <w:lvlJc w:val="left"/>
    </w:lvl>
  </w:abstractNum>
  <w:abstractNum w:abstractNumId="51">
    <w:nsid w:val="5F7453EC"/>
    <w:multiLevelType w:val="multilevel"/>
    <w:tmpl w:val="5F7453EC"/>
    <w:lvl w:ilvl="0" w:tentative="0">
      <w:start w:val="1"/>
      <w:numFmt w:val="decimal"/>
      <w:lvlText w:val="2.%1."/>
      <w:lvlJc w:val="left"/>
      <w:pPr>
        <w:tabs>
          <w:tab w:val="left" w:pos="510"/>
        </w:tabs>
        <w:ind w:left="510" w:hanging="510"/>
      </w:pPr>
      <w:rPr>
        <w:rFonts w:hint="default" w:ascii="Times New Roman" w:hAnsi="Times New Roman" w:cs="Times New Roman"/>
        <w:b/>
        <w:sz w:val="24"/>
      </w:rPr>
    </w:lvl>
    <w:lvl w:ilvl="1" w:tentative="0">
      <w:start w:val="1"/>
      <w:numFmt w:val="decimal"/>
      <w:lvlText w:val="3.%2."/>
      <w:lvlJc w:val="left"/>
      <w:pPr>
        <w:tabs>
          <w:tab w:val="left" w:pos="510"/>
        </w:tabs>
        <w:ind w:left="510" w:hanging="510"/>
      </w:pPr>
      <w:rPr>
        <w:rFonts w:hint="default" w:ascii="Times New Roman" w:hAnsi="Times New Roman" w:cs="Times New Roman"/>
        <w:b/>
        <w:color w:val="auto"/>
        <w:sz w:val="24"/>
        <w:szCs w:val="24"/>
      </w:rPr>
    </w:lvl>
    <w:lvl w:ilvl="2" w:tentative="0">
      <w:start w:val="1"/>
      <w:numFmt w:val="decimal"/>
      <w:lvlText w:val="%3."/>
      <w:lvlJc w:val="left"/>
      <w:pPr>
        <w:tabs>
          <w:tab w:val="left" w:pos="510"/>
        </w:tabs>
        <w:ind w:left="510" w:hanging="510"/>
      </w:pPr>
      <w:rPr>
        <w:rFonts w:cs="Times New Roman"/>
        <w:b w:val="0"/>
        <w:sz w:val="24"/>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2">
    <w:nsid w:val="5F9D4459"/>
    <w:multiLevelType w:val="multilevel"/>
    <w:tmpl w:val="5F9D4459"/>
    <w:lvl w:ilvl="0" w:tentative="0">
      <w:start w:val="1"/>
      <w:numFmt w:val="decimal"/>
      <w:lvlText w:val="3.%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67BC6897"/>
    <w:multiLevelType w:val="multilevel"/>
    <w:tmpl w:val="67BC6897"/>
    <w:lvl w:ilvl="0" w:tentative="0">
      <w:start w:val="1"/>
      <w:numFmt w:val="chineseCountingThousand"/>
      <w:lvlText w:val="%1、"/>
      <w:lvlJc w:val="left"/>
      <w:pPr>
        <w:tabs>
          <w:tab w:val="left" w:pos="562"/>
        </w:tabs>
        <w:ind w:left="562"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4">
    <w:nsid w:val="6A0E758C"/>
    <w:multiLevelType w:val="multilevel"/>
    <w:tmpl w:val="6A0E758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BFE3129"/>
    <w:multiLevelType w:val="multilevel"/>
    <w:tmpl w:val="6BFE3129"/>
    <w:lvl w:ilvl="0" w:tentative="0">
      <w:start w:val="1"/>
      <w:numFmt w:val="decimal"/>
      <w:lvlText w:val="1.%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eastAsia"/>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731D60BD"/>
    <w:multiLevelType w:val="multilevel"/>
    <w:tmpl w:val="731D60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72338C3"/>
    <w:multiLevelType w:val="multilevel"/>
    <w:tmpl w:val="772338C3"/>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BEF43B4"/>
    <w:multiLevelType w:val="multilevel"/>
    <w:tmpl w:val="7BEF43B4"/>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C5A548E"/>
    <w:multiLevelType w:val="multilevel"/>
    <w:tmpl w:val="7C5A54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E7C3613"/>
    <w:multiLevelType w:val="multilevel"/>
    <w:tmpl w:val="7E7C361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num w:numId="1">
    <w:abstractNumId w:val="3"/>
  </w:num>
  <w:num w:numId="2">
    <w:abstractNumId w:val="40"/>
  </w:num>
  <w:num w:numId="3">
    <w:abstractNumId w:val="22"/>
  </w:num>
  <w:num w:numId="4">
    <w:abstractNumId w:val="27"/>
  </w:num>
  <w:num w:numId="5">
    <w:abstractNumId w:val="51"/>
    <w:lvlOverride w:ilvl="1">
      <w:startOverride w:val="1"/>
    </w:lvlOverride>
  </w:num>
  <w:num w:numId="6">
    <w:abstractNumId w:val="31"/>
  </w:num>
  <w:num w:numId="7">
    <w:abstractNumId w:val="50"/>
  </w:num>
  <w:num w:numId="8">
    <w:abstractNumId w:val="55"/>
  </w:num>
  <w:num w:numId="9">
    <w:abstractNumId w:val="35"/>
  </w:num>
  <w:num w:numId="10">
    <w:abstractNumId w:val="28"/>
  </w:num>
  <w:num w:numId="11">
    <w:abstractNumId w:val="39"/>
  </w:num>
  <w:num w:numId="12">
    <w:abstractNumId w:val="36"/>
  </w:num>
  <w:num w:numId="13">
    <w:abstractNumId w:val="52"/>
  </w:num>
  <w:num w:numId="14">
    <w:abstractNumId w:val="26"/>
  </w:num>
  <w:num w:numId="15">
    <w:abstractNumId w:val="47"/>
  </w:num>
  <w:num w:numId="16">
    <w:abstractNumId w:val="24"/>
  </w:num>
  <w:num w:numId="17">
    <w:abstractNumId w:val="59"/>
  </w:num>
  <w:num w:numId="18">
    <w:abstractNumId w:val="58"/>
  </w:num>
  <w:num w:numId="19">
    <w:abstractNumId w:val="44"/>
  </w:num>
  <w:num w:numId="20">
    <w:abstractNumId w:val="42"/>
  </w:num>
  <w:num w:numId="21">
    <w:abstractNumId w:val="32"/>
  </w:num>
  <w:num w:numId="22">
    <w:abstractNumId w:val="29"/>
  </w:num>
  <w:num w:numId="23">
    <w:abstractNumId w:val="57"/>
  </w:num>
  <w:num w:numId="24">
    <w:abstractNumId w:val="54"/>
  </w:num>
  <w:num w:numId="25">
    <w:abstractNumId w:val="46"/>
  </w:num>
  <w:num w:numId="26">
    <w:abstractNumId w:val="9"/>
  </w:num>
  <w:num w:numId="27">
    <w:abstractNumId w:val="49"/>
  </w:num>
  <w:num w:numId="28">
    <w:abstractNumId w:val="12"/>
  </w:num>
  <w:num w:numId="29">
    <w:abstractNumId w:val="33"/>
  </w:num>
  <w:num w:numId="30">
    <w:abstractNumId w:val="60"/>
  </w:num>
  <w:num w:numId="31">
    <w:abstractNumId w:val="20"/>
  </w:num>
  <w:num w:numId="32">
    <w:abstractNumId w:val="2"/>
  </w:num>
  <w:num w:numId="33">
    <w:abstractNumId w:val="4"/>
  </w:num>
  <w:num w:numId="34">
    <w:abstractNumId w:val="30"/>
  </w:num>
  <w:num w:numId="35">
    <w:abstractNumId w:val="21"/>
  </w:num>
  <w:num w:numId="36">
    <w:abstractNumId w:val="43"/>
  </w:num>
  <w:num w:numId="37">
    <w:abstractNumId w:val="41"/>
  </w:num>
  <w:num w:numId="38">
    <w:abstractNumId w:val="56"/>
  </w:num>
  <w:num w:numId="39">
    <w:abstractNumId w:val="38"/>
  </w:num>
  <w:num w:numId="40">
    <w:abstractNumId w:val="37"/>
  </w:num>
  <w:num w:numId="41">
    <w:abstractNumId w:val="48"/>
  </w:num>
  <w:num w:numId="42">
    <w:abstractNumId w:val="16"/>
  </w:num>
  <w:num w:numId="43">
    <w:abstractNumId w:val="13"/>
  </w:num>
  <w:num w:numId="44">
    <w:abstractNumId w:val="15"/>
  </w:num>
  <w:num w:numId="45">
    <w:abstractNumId w:val="7"/>
  </w:num>
  <w:num w:numId="46">
    <w:abstractNumId w:val="6"/>
  </w:num>
  <w:num w:numId="47">
    <w:abstractNumId w:val="45"/>
  </w:num>
  <w:num w:numId="48">
    <w:abstractNumId w:val="23"/>
  </w:num>
  <w:num w:numId="49">
    <w:abstractNumId w:val="10"/>
  </w:num>
  <w:num w:numId="50">
    <w:abstractNumId w:val="34"/>
  </w:num>
  <w:num w:numId="51">
    <w:abstractNumId w:val="14"/>
  </w:num>
  <w:num w:numId="52">
    <w:abstractNumId w:val="8"/>
  </w:num>
  <w:num w:numId="53">
    <w:abstractNumId w:val="18"/>
  </w:num>
  <w:num w:numId="54">
    <w:abstractNumId w:val="0"/>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11"/>
  </w:num>
  <w:num w:numId="58">
    <w:abstractNumId w:val="17"/>
  </w:num>
  <w:num w:numId="59">
    <w:abstractNumId w:val="5"/>
  </w:num>
  <w:num w:numId="60">
    <w:abstractNumId w:val="19"/>
  </w:num>
  <w:num w:numId="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B0"/>
    <w:rsid w:val="00000A95"/>
    <w:rsid w:val="0000215F"/>
    <w:rsid w:val="00003900"/>
    <w:rsid w:val="00003B19"/>
    <w:rsid w:val="00004A9A"/>
    <w:rsid w:val="00005793"/>
    <w:rsid w:val="00010401"/>
    <w:rsid w:val="000143EB"/>
    <w:rsid w:val="00014952"/>
    <w:rsid w:val="00015D53"/>
    <w:rsid w:val="00017369"/>
    <w:rsid w:val="000201C3"/>
    <w:rsid w:val="0002075D"/>
    <w:rsid w:val="000228C0"/>
    <w:rsid w:val="00023F29"/>
    <w:rsid w:val="00026553"/>
    <w:rsid w:val="00026630"/>
    <w:rsid w:val="00026F18"/>
    <w:rsid w:val="00027126"/>
    <w:rsid w:val="000278E5"/>
    <w:rsid w:val="00030552"/>
    <w:rsid w:val="00030D9E"/>
    <w:rsid w:val="00031D19"/>
    <w:rsid w:val="00031FCC"/>
    <w:rsid w:val="00032E4E"/>
    <w:rsid w:val="00032F7B"/>
    <w:rsid w:val="00032FD1"/>
    <w:rsid w:val="0003549D"/>
    <w:rsid w:val="000356FC"/>
    <w:rsid w:val="00036125"/>
    <w:rsid w:val="00036EF9"/>
    <w:rsid w:val="00040510"/>
    <w:rsid w:val="000405AE"/>
    <w:rsid w:val="00040B84"/>
    <w:rsid w:val="000416F7"/>
    <w:rsid w:val="000417DB"/>
    <w:rsid w:val="0004323D"/>
    <w:rsid w:val="0004607E"/>
    <w:rsid w:val="000478E6"/>
    <w:rsid w:val="00050936"/>
    <w:rsid w:val="00053444"/>
    <w:rsid w:val="00053F3B"/>
    <w:rsid w:val="000549C8"/>
    <w:rsid w:val="00054FC2"/>
    <w:rsid w:val="00055AC6"/>
    <w:rsid w:val="00060BFA"/>
    <w:rsid w:val="00061EE4"/>
    <w:rsid w:val="00063D97"/>
    <w:rsid w:val="00065803"/>
    <w:rsid w:val="00065CBA"/>
    <w:rsid w:val="000667DC"/>
    <w:rsid w:val="000701D7"/>
    <w:rsid w:val="00071ECB"/>
    <w:rsid w:val="00074D2C"/>
    <w:rsid w:val="0007533A"/>
    <w:rsid w:val="00075776"/>
    <w:rsid w:val="000757CD"/>
    <w:rsid w:val="000825B5"/>
    <w:rsid w:val="000828CF"/>
    <w:rsid w:val="00082AE6"/>
    <w:rsid w:val="00083057"/>
    <w:rsid w:val="0008340D"/>
    <w:rsid w:val="00084E21"/>
    <w:rsid w:val="000864C6"/>
    <w:rsid w:val="000907B6"/>
    <w:rsid w:val="0009120B"/>
    <w:rsid w:val="00091C95"/>
    <w:rsid w:val="000922C9"/>
    <w:rsid w:val="0009562D"/>
    <w:rsid w:val="00096039"/>
    <w:rsid w:val="00096099"/>
    <w:rsid w:val="000A18B7"/>
    <w:rsid w:val="000A470C"/>
    <w:rsid w:val="000A48FF"/>
    <w:rsid w:val="000A4CE4"/>
    <w:rsid w:val="000A5F34"/>
    <w:rsid w:val="000A68E2"/>
    <w:rsid w:val="000B0D0C"/>
    <w:rsid w:val="000B26F9"/>
    <w:rsid w:val="000B30DF"/>
    <w:rsid w:val="000B3797"/>
    <w:rsid w:val="000B41B5"/>
    <w:rsid w:val="000B5FC3"/>
    <w:rsid w:val="000B6334"/>
    <w:rsid w:val="000B7B62"/>
    <w:rsid w:val="000B7E0A"/>
    <w:rsid w:val="000C0654"/>
    <w:rsid w:val="000C22E0"/>
    <w:rsid w:val="000C353B"/>
    <w:rsid w:val="000C3B3E"/>
    <w:rsid w:val="000C4E59"/>
    <w:rsid w:val="000C5F78"/>
    <w:rsid w:val="000D2C1C"/>
    <w:rsid w:val="000D2CA4"/>
    <w:rsid w:val="000D39D3"/>
    <w:rsid w:val="000D3B5D"/>
    <w:rsid w:val="000D3EA5"/>
    <w:rsid w:val="000D47AD"/>
    <w:rsid w:val="000D64B5"/>
    <w:rsid w:val="000D658E"/>
    <w:rsid w:val="000D69CA"/>
    <w:rsid w:val="000D6B41"/>
    <w:rsid w:val="000D700C"/>
    <w:rsid w:val="000D7088"/>
    <w:rsid w:val="000D7EDE"/>
    <w:rsid w:val="000E3D22"/>
    <w:rsid w:val="000E4051"/>
    <w:rsid w:val="000E49DA"/>
    <w:rsid w:val="000E4F17"/>
    <w:rsid w:val="000E5647"/>
    <w:rsid w:val="000F0C02"/>
    <w:rsid w:val="000F132C"/>
    <w:rsid w:val="000F3700"/>
    <w:rsid w:val="000F3EAD"/>
    <w:rsid w:val="000F53F5"/>
    <w:rsid w:val="000F7F82"/>
    <w:rsid w:val="00101DB5"/>
    <w:rsid w:val="001026F2"/>
    <w:rsid w:val="00102D77"/>
    <w:rsid w:val="0010335A"/>
    <w:rsid w:val="00103F14"/>
    <w:rsid w:val="001044CF"/>
    <w:rsid w:val="0010531E"/>
    <w:rsid w:val="001054E4"/>
    <w:rsid w:val="00105D42"/>
    <w:rsid w:val="00110F64"/>
    <w:rsid w:val="00112C68"/>
    <w:rsid w:val="00113BD3"/>
    <w:rsid w:val="001144C5"/>
    <w:rsid w:val="00115915"/>
    <w:rsid w:val="0011595B"/>
    <w:rsid w:val="00117497"/>
    <w:rsid w:val="00120901"/>
    <w:rsid w:val="00120DEB"/>
    <w:rsid w:val="001215EE"/>
    <w:rsid w:val="001221AE"/>
    <w:rsid w:val="00122C18"/>
    <w:rsid w:val="00123516"/>
    <w:rsid w:val="00123585"/>
    <w:rsid w:val="00123930"/>
    <w:rsid w:val="00126461"/>
    <w:rsid w:val="001311D8"/>
    <w:rsid w:val="00131AB4"/>
    <w:rsid w:val="00131C65"/>
    <w:rsid w:val="00133688"/>
    <w:rsid w:val="00133C0E"/>
    <w:rsid w:val="001340E6"/>
    <w:rsid w:val="00134268"/>
    <w:rsid w:val="0013681D"/>
    <w:rsid w:val="001370A1"/>
    <w:rsid w:val="00137EA0"/>
    <w:rsid w:val="00141603"/>
    <w:rsid w:val="00141F03"/>
    <w:rsid w:val="00143033"/>
    <w:rsid w:val="00143EA8"/>
    <w:rsid w:val="00144D4E"/>
    <w:rsid w:val="001458F5"/>
    <w:rsid w:val="0014799F"/>
    <w:rsid w:val="00147C51"/>
    <w:rsid w:val="00150298"/>
    <w:rsid w:val="00150DA9"/>
    <w:rsid w:val="00150EB1"/>
    <w:rsid w:val="00150EF6"/>
    <w:rsid w:val="00152542"/>
    <w:rsid w:val="001555B1"/>
    <w:rsid w:val="0015595D"/>
    <w:rsid w:val="00156AF1"/>
    <w:rsid w:val="00157657"/>
    <w:rsid w:val="00160B2D"/>
    <w:rsid w:val="001613A7"/>
    <w:rsid w:val="00162EFC"/>
    <w:rsid w:val="00163550"/>
    <w:rsid w:val="00163A5F"/>
    <w:rsid w:val="00165A42"/>
    <w:rsid w:val="0016616E"/>
    <w:rsid w:val="00166E40"/>
    <w:rsid w:val="00166EED"/>
    <w:rsid w:val="00167D70"/>
    <w:rsid w:val="00170A4B"/>
    <w:rsid w:val="00170AE5"/>
    <w:rsid w:val="00170E9B"/>
    <w:rsid w:val="0017128F"/>
    <w:rsid w:val="00172199"/>
    <w:rsid w:val="00172989"/>
    <w:rsid w:val="00172A27"/>
    <w:rsid w:val="00173561"/>
    <w:rsid w:val="0017465A"/>
    <w:rsid w:val="001747FD"/>
    <w:rsid w:val="00176CCB"/>
    <w:rsid w:val="0017704E"/>
    <w:rsid w:val="00177EC3"/>
    <w:rsid w:val="00182106"/>
    <w:rsid w:val="001837B9"/>
    <w:rsid w:val="00183A45"/>
    <w:rsid w:val="0018428E"/>
    <w:rsid w:val="00184419"/>
    <w:rsid w:val="00185708"/>
    <w:rsid w:val="00186C48"/>
    <w:rsid w:val="001877ED"/>
    <w:rsid w:val="00187886"/>
    <w:rsid w:val="00190DD4"/>
    <w:rsid w:val="0019364B"/>
    <w:rsid w:val="0019571F"/>
    <w:rsid w:val="00195C22"/>
    <w:rsid w:val="00195F1B"/>
    <w:rsid w:val="00196C9D"/>
    <w:rsid w:val="00197273"/>
    <w:rsid w:val="001979B5"/>
    <w:rsid w:val="001A006B"/>
    <w:rsid w:val="001A0318"/>
    <w:rsid w:val="001A216A"/>
    <w:rsid w:val="001A4759"/>
    <w:rsid w:val="001B0952"/>
    <w:rsid w:val="001B1B97"/>
    <w:rsid w:val="001B2D02"/>
    <w:rsid w:val="001B54D1"/>
    <w:rsid w:val="001B55DB"/>
    <w:rsid w:val="001B62A7"/>
    <w:rsid w:val="001B7669"/>
    <w:rsid w:val="001C19F4"/>
    <w:rsid w:val="001C314F"/>
    <w:rsid w:val="001C39A8"/>
    <w:rsid w:val="001C4CCE"/>
    <w:rsid w:val="001C537F"/>
    <w:rsid w:val="001C69FB"/>
    <w:rsid w:val="001C6C36"/>
    <w:rsid w:val="001C7533"/>
    <w:rsid w:val="001C7C7B"/>
    <w:rsid w:val="001D42CB"/>
    <w:rsid w:val="001D5AB3"/>
    <w:rsid w:val="001D6FB2"/>
    <w:rsid w:val="001E2349"/>
    <w:rsid w:val="001E36E7"/>
    <w:rsid w:val="001E38D3"/>
    <w:rsid w:val="001E53DD"/>
    <w:rsid w:val="001E613B"/>
    <w:rsid w:val="001E67AC"/>
    <w:rsid w:val="001E7D13"/>
    <w:rsid w:val="001F2753"/>
    <w:rsid w:val="001F34C8"/>
    <w:rsid w:val="001F3733"/>
    <w:rsid w:val="001F376B"/>
    <w:rsid w:val="001F4909"/>
    <w:rsid w:val="001F5FE2"/>
    <w:rsid w:val="001F6821"/>
    <w:rsid w:val="001F6E77"/>
    <w:rsid w:val="001F74EC"/>
    <w:rsid w:val="001F7B03"/>
    <w:rsid w:val="00200833"/>
    <w:rsid w:val="0020217A"/>
    <w:rsid w:val="00202F0C"/>
    <w:rsid w:val="00203B4F"/>
    <w:rsid w:val="00204FCF"/>
    <w:rsid w:val="00206AC1"/>
    <w:rsid w:val="00206D01"/>
    <w:rsid w:val="00207022"/>
    <w:rsid w:val="0020741A"/>
    <w:rsid w:val="0021026E"/>
    <w:rsid w:val="00210D66"/>
    <w:rsid w:val="0021173D"/>
    <w:rsid w:val="00212457"/>
    <w:rsid w:val="00213812"/>
    <w:rsid w:val="00214B9A"/>
    <w:rsid w:val="0021624B"/>
    <w:rsid w:val="002163A5"/>
    <w:rsid w:val="002164D5"/>
    <w:rsid w:val="00217CC4"/>
    <w:rsid w:val="00220256"/>
    <w:rsid w:val="0022133B"/>
    <w:rsid w:val="002214C7"/>
    <w:rsid w:val="0022411D"/>
    <w:rsid w:val="00224B20"/>
    <w:rsid w:val="00224BF2"/>
    <w:rsid w:val="00224F1D"/>
    <w:rsid w:val="00225639"/>
    <w:rsid w:val="00225A11"/>
    <w:rsid w:val="00225D59"/>
    <w:rsid w:val="00226816"/>
    <w:rsid w:val="0022695C"/>
    <w:rsid w:val="00226AAB"/>
    <w:rsid w:val="002302C3"/>
    <w:rsid w:val="0023087B"/>
    <w:rsid w:val="00233247"/>
    <w:rsid w:val="002332B8"/>
    <w:rsid w:val="00235E4F"/>
    <w:rsid w:val="0023683A"/>
    <w:rsid w:val="0023729C"/>
    <w:rsid w:val="00237978"/>
    <w:rsid w:val="00237C7B"/>
    <w:rsid w:val="00240B19"/>
    <w:rsid w:val="00240B92"/>
    <w:rsid w:val="00243502"/>
    <w:rsid w:val="0024541B"/>
    <w:rsid w:val="002454B0"/>
    <w:rsid w:val="00245BCB"/>
    <w:rsid w:val="002462CF"/>
    <w:rsid w:val="002477D1"/>
    <w:rsid w:val="00250256"/>
    <w:rsid w:val="0025055C"/>
    <w:rsid w:val="00250D38"/>
    <w:rsid w:val="00251336"/>
    <w:rsid w:val="00251554"/>
    <w:rsid w:val="00253AED"/>
    <w:rsid w:val="00255A15"/>
    <w:rsid w:val="00255C1B"/>
    <w:rsid w:val="00255CCC"/>
    <w:rsid w:val="00256D44"/>
    <w:rsid w:val="0025714A"/>
    <w:rsid w:val="00260A6F"/>
    <w:rsid w:val="002611B8"/>
    <w:rsid w:val="0026252B"/>
    <w:rsid w:val="00262FFF"/>
    <w:rsid w:val="00263235"/>
    <w:rsid w:val="0026389F"/>
    <w:rsid w:val="00263E0C"/>
    <w:rsid w:val="00265D48"/>
    <w:rsid w:val="00266BAA"/>
    <w:rsid w:val="00266DFF"/>
    <w:rsid w:val="002723B7"/>
    <w:rsid w:val="00272405"/>
    <w:rsid w:val="00272625"/>
    <w:rsid w:val="00274364"/>
    <w:rsid w:val="00276B03"/>
    <w:rsid w:val="002770BC"/>
    <w:rsid w:val="002803DF"/>
    <w:rsid w:val="00280E1A"/>
    <w:rsid w:val="002811B7"/>
    <w:rsid w:val="00281A7A"/>
    <w:rsid w:val="00282D44"/>
    <w:rsid w:val="0029098D"/>
    <w:rsid w:val="002916A4"/>
    <w:rsid w:val="002931B1"/>
    <w:rsid w:val="00293770"/>
    <w:rsid w:val="0029441A"/>
    <w:rsid w:val="00295217"/>
    <w:rsid w:val="0029574D"/>
    <w:rsid w:val="00296F86"/>
    <w:rsid w:val="002A06AE"/>
    <w:rsid w:val="002A2014"/>
    <w:rsid w:val="002A34BC"/>
    <w:rsid w:val="002A4CFD"/>
    <w:rsid w:val="002A5C52"/>
    <w:rsid w:val="002A6F3D"/>
    <w:rsid w:val="002A79C9"/>
    <w:rsid w:val="002A7A1D"/>
    <w:rsid w:val="002B039F"/>
    <w:rsid w:val="002B1074"/>
    <w:rsid w:val="002B10CD"/>
    <w:rsid w:val="002B220A"/>
    <w:rsid w:val="002B2BF8"/>
    <w:rsid w:val="002B2FA5"/>
    <w:rsid w:val="002B4437"/>
    <w:rsid w:val="002B4AED"/>
    <w:rsid w:val="002B69A0"/>
    <w:rsid w:val="002B7799"/>
    <w:rsid w:val="002C1169"/>
    <w:rsid w:val="002C3AE5"/>
    <w:rsid w:val="002C4150"/>
    <w:rsid w:val="002C4F15"/>
    <w:rsid w:val="002C51E1"/>
    <w:rsid w:val="002C7C70"/>
    <w:rsid w:val="002D063A"/>
    <w:rsid w:val="002D0A54"/>
    <w:rsid w:val="002D457F"/>
    <w:rsid w:val="002D62E2"/>
    <w:rsid w:val="002D6C53"/>
    <w:rsid w:val="002D7352"/>
    <w:rsid w:val="002D7BED"/>
    <w:rsid w:val="002E040C"/>
    <w:rsid w:val="002E0F8B"/>
    <w:rsid w:val="002E1888"/>
    <w:rsid w:val="002E2288"/>
    <w:rsid w:val="002E44AA"/>
    <w:rsid w:val="002E4A6B"/>
    <w:rsid w:val="002E578B"/>
    <w:rsid w:val="002F2589"/>
    <w:rsid w:val="002F469E"/>
    <w:rsid w:val="002F4CD9"/>
    <w:rsid w:val="002F6D3D"/>
    <w:rsid w:val="003028B9"/>
    <w:rsid w:val="003033D0"/>
    <w:rsid w:val="0030362B"/>
    <w:rsid w:val="00305A16"/>
    <w:rsid w:val="003063D9"/>
    <w:rsid w:val="00306555"/>
    <w:rsid w:val="00311033"/>
    <w:rsid w:val="0031128B"/>
    <w:rsid w:val="00311B2D"/>
    <w:rsid w:val="003145B8"/>
    <w:rsid w:val="0031597E"/>
    <w:rsid w:val="00315CFA"/>
    <w:rsid w:val="00316332"/>
    <w:rsid w:val="003171FA"/>
    <w:rsid w:val="00317633"/>
    <w:rsid w:val="00320108"/>
    <w:rsid w:val="00322BBC"/>
    <w:rsid w:val="00322C3D"/>
    <w:rsid w:val="00322D81"/>
    <w:rsid w:val="0032318B"/>
    <w:rsid w:val="00323C48"/>
    <w:rsid w:val="003250CD"/>
    <w:rsid w:val="0032757A"/>
    <w:rsid w:val="00330A1F"/>
    <w:rsid w:val="00332A51"/>
    <w:rsid w:val="00333E23"/>
    <w:rsid w:val="00334AAF"/>
    <w:rsid w:val="00334B7B"/>
    <w:rsid w:val="00335F11"/>
    <w:rsid w:val="003361EC"/>
    <w:rsid w:val="00344D59"/>
    <w:rsid w:val="00344E72"/>
    <w:rsid w:val="003458C3"/>
    <w:rsid w:val="00345D24"/>
    <w:rsid w:val="00350166"/>
    <w:rsid w:val="00350A13"/>
    <w:rsid w:val="00351867"/>
    <w:rsid w:val="00353141"/>
    <w:rsid w:val="003545AB"/>
    <w:rsid w:val="00354D6C"/>
    <w:rsid w:val="00357035"/>
    <w:rsid w:val="003571F7"/>
    <w:rsid w:val="003572D4"/>
    <w:rsid w:val="00357F14"/>
    <w:rsid w:val="00360A95"/>
    <w:rsid w:val="00361148"/>
    <w:rsid w:val="0036245D"/>
    <w:rsid w:val="00363915"/>
    <w:rsid w:val="00364595"/>
    <w:rsid w:val="003648E7"/>
    <w:rsid w:val="00365B64"/>
    <w:rsid w:val="003674CC"/>
    <w:rsid w:val="00372CB5"/>
    <w:rsid w:val="00374A30"/>
    <w:rsid w:val="00376F57"/>
    <w:rsid w:val="003770E1"/>
    <w:rsid w:val="00380D8B"/>
    <w:rsid w:val="00382115"/>
    <w:rsid w:val="003877E0"/>
    <w:rsid w:val="00387FE7"/>
    <w:rsid w:val="00390D49"/>
    <w:rsid w:val="00391092"/>
    <w:rsid w:val="00392655"/>
    <w:rsid w:val="00393AF2"/>
    <w:rsid w:val="003951CD"/>
    <w:rsid w:val="00396603"/>
    <w:rsid w:val="003A1321"/>
    <w:rsid w:val="003A1533"/>
    <w:rsid w:val="003A2AE4"/>
    <w:rsid w:val="003A2CD0"/>
    <w:rsid w:val="003A3EA0"/>
    <w:rsid w:val="003A4570"/>
    <w:rsid w:val="003A6D50"/>
    <w:rsid w:val="003A6ECB"/>
    <w:rsid w:val="003A7286"/>
    <w:rsid w:val="003A7753"/>
    <w:rsid w:val="003B1388"/>
    <w:rsid w:val="003B1C22"/>
    <w:rsid w:val="003B2397"/>
    <w:rsid w:val="003B29CB"/>
    <w:rsid w:val="003B3DE2"/>
    <w:rsid w:val="003B5398"/>
    <w:rsid w:val="003B6733"/>
    <w:rsid w:val="003B7541"/>
    <w:rsid w:val="003C0FF1"/>
    <w:rsid w:val="003C1171"/>
    <w:rsid w:val="003C2F28"/>
    <w:rsid w:val="003C3D9D"/>
    <w:rsid w:val="003C4427"/>
    <w:rsid w:val="003C60A1"/>
    <w:rsid w:val="003C6B42"/>
    <w:rsid w:val="003C7E85"/>
    <w:rsid w:val="003D1BE1"/>
    <w:rsid w:val="003D23F3"/>
    <w:rsid w:val="003D29B7"/>
    <w:rsid w:val="003D41A3"/>
    <w:rsid w:val="003D54B4"/>
    <w:rsid w:val="003D5981"/>
    <w:rsid w:val="003D5AAA"/>
    <w:rsid w:val="003E230F"/>
    <w:rsid w:val="003E2584"/>
    <w:rsid w:val="003E49B0"/>
    <w:rsid w:val="003E5C16"/>
    <w:rsid w:val="003E76A4"/>
    <w:rsid w:val="003E77A2"/>
    <w:rsid w:val="003F2938"/>
    <w:rsid w:val="003F3771"/>
    <w:rsid w:val="003F3888"/>
    <w:rsid w:val="003F4BF8"/>
    <w:rsid w:val="003F70D6"/>
    <w:rsid w:val="003F7D20"/>
    <w:rsid w:val="004003EC"/>
    <w:rsid w:val="00401FA1"/>
    <w:rsid w:val="00407F86"/>
    <w:rsid w:val="00410221"/>
    <w:rsid w:val="00410C49"/>
    <w:rsid w:val="00411772"/>
    <w:rsid w:val="00411BC9"/>
    <w:rsid w:val="004120FE"/>
    <w:rsid w:val="004126E8"/>
    <w:rsid w:val="00412E5D"/>
    <w:rsid w:val="00412F16"/>
    <w:rsid w:val="00413B2F"/>
    <w:rsid w:val="004157D5"/>
    <w:rsid w:val="0041781B"/>
    <w:rsid w:val="004240D3"/>
    <w:rsid w:val="004249A7"/>
    <w:rsid w:val="00424FD0"/>
    <w:rsid w:val="0042541E"/>
    <w:rsid w:val="004276A3"/>
    <w:rsid w:val="004307E1"/>
    <w:rsid w:val="004316FF"/>
    <w:rsid w:val="00431E97"/>
    <w:rsid w:val="00433A47"/>
    <w:rsid w:val="00433B65"/>
    <w:rsid w:val="00433FF3"/>
    <w:rsid w:val="00437135"/>
    <w:rsid w:val="004374BD"/>
    <w:rsid w:val="00441EFE"/>
    <w:rsid w:val="00442990"/>
    <w:rsid w:val="00444E6B"/>
    <w:rsid w:val="00445812"/>
    <w:rsid w:val="00445E1C"/>
    <w:rsid w:val="00446285"/>
    <w:rsid w:val="004469E0"/>
    <w:rsid w:val="004515CC"/>
    <w:rsid w:val="00453B5E"/>
    <w:rsid w:val="00454589"/>
    <w:rsid w:val="0045575D"/>
    <w:rsid w:val="00456E1A"/>
    <w:rsid w:val="00461B61"/>
    <w:rsid w:val="00461FF4"/>
    <w:rsid w:val="004636C1"/>
    <w:rsid w:val="00464AA2"/>
    <w:rsid w:val="00464E35"/>
    <w:rsid w:val="0047140D"/>
    <w:rsid w:val="00471D2E"/>
    <w:rsid w:val="00473AC6"/>
    <w:rsid w:val="0047499A"/>
    <w:rsid w:val="004757D0"/>
    <w:rsid w:val="0047665A"/>
    <w:rsid w:val="0048126F"/>
    <w:rsid w:val="004825AB"/>
    <w:rsid w:val="004835B9"/>
    <w:rsid w:val="00483B27"/>
    <w:rsid w:val="0048486E"/>
    <w:rsid w:val="0048512A"/>
    <w:rsid w:val="00485FB8"/>
    <w:rsid w:val="00486929"/>
    <w:rsid w:val="0048746E"/>
    <w:rsid w:val="004904B3"/>
    <w:rsid w:val="004908E8"/>
    <w:rsid w:val="00491A44"/>
    <w:rsid w:val="004928A8"/>
    <w:rsid w:val="00493937"/>
    <w:rsid w:val="004946D5"/>
    <w:rsid w:val="00494889"/>
    <w:rsid w:val="00494CE9"/>
    <w:rsid w:val="00496AB3"/>
    <w:rsid w:val="00496C18"/>
    <w:rsid w:val="00497DF5"/>
    <w:rsid w:val="004A0A94"/>
    <w:rsid w:val="004A26F0"/>
    <w:rsid w:val="004A2EB3"/>
    <w:rsid w:val="004A31A3"/>
    <w:rsid w:val="004A33B9"/>
    <w:rsid w:val="004A37B2"/>
    <w:rsid w:val="004A37F2"/>
    <w:rsid w:val="004A430A"/>
    <w:rsid w:val="004A48FA"/>
    <w:rsid w:val="004A6E2E"/>
    <w:rsid w:val="004A7676"/>
    <w:rsid w:val="004B0574"/>
    <w:rsid w:val="004B1406"/>
    <w:rsid w:val="004B62C8"/>
    <w:rsid w:val="004C2108"/>
    <w:rsid w:val="004C225A"/>
    <w:rsid w:val="004C2C17"/>
    <w:rsid w:val="004C32EF"/>
    <w:rsid w:val="004C3303"/>
    <w:rsid w:val="004C4E04"/>
    <w:rsid w:val="004C5E25"/>
    <w:rsid w:val="004C61FE"/>
    <w:rsid w:val="004C79F9"/>
    <w:rsid w:val="004D1B38"/>
    <w:rsid w:val="004D2976"/>
    <w:rsid w:val="004D37BA"/>
    <w:rsid w:val="004D4F9C"/>
    <w:rsid w:val="004D6032"/>
    <w:rsid w:val="004D65BF"/>
    <w:rsid w:val="004E01B8"/>
    <w:rsid w:val="004E3E8B"/>
    <w:rsid w:val="004E46EC"/>
    <w:rsid w:val="004E55D9"/>
    <w:rsid w:val="004E5614"/>
    <w:rsid w:val="004E772B"/>
    <w:rsid w:val="004E7929"/>
    <w:rsid w:val="004F0A21"/>
    <w:rsid w:val="004F0FAA"/>
    <w:rsid w:val="004F1178"/>
    <w:rsid w:val="004F1798"/>
    <w:rsid w:val="004F434B"/>
    <w:rsid w:val="004F44B8"/>
    <w:rsid w:val="004F5121"/>
    <w:rsid w:val="004F7655"/>
    <w:rsid w:val="0050066C"/>
    <w:rsid w:val="005009C4"/>
    <w:rsid w:val="005009FE"/>
    <w:rsid w:val="00500DA6"/>
    <w:rsid w:val="005040EE"/>
    <w:rsid w:val="005041CC"/>
    <w:rsid w:val="00504745"/>
    <w:rsid w:val="0050488F"/>
    <w:rsid w:val="00504E2E"/>
    <w:rsid w:val="005100E1"/>
    <w:rsid w:val="005121A6"/>
    <w:rsid w:val="0051278C"/>
    <w:rsid w:val="005127F3"/>
    <w:rsid w:val="00512950"/>
    <w:rsid w:val="005132A4"/>
    <w:rsid w:val="005137E0"/>
    <w:rsid w:val="0051778E"/>
    <w:rsid w:val="005179BA"/>
    <w:rsid w:val="00521244"/>
    <w:rsid w:val="00524914"/>
    <w:rsid w:val="00524C86"/>
    <w:rsid w:val="0052576B"/>
    <w:rsid w:val="0052655E"/>
    <w:rsid w:val="00527B07"/>
    <w:rsid w:val="005304C3"/>
    <w:rsid w:val="00530A3F"/>
    <w:rsid w:val="00531F4F"/>
    <w:rsid w:val="0053275E"/>
    <w:rsid w:val="00533F20"/>
    <w:rsid w:val="005346B0"/>
    <w:rsid w:val="0053572D"/>
    <w:rsid w:val="00540499"/>
    <w:rsid w:val="005404DA"/>
    <w:rsid w:val="0054144E"/>
    <w:rsid w:val="00541F85"/>
    <w:rsid w:val="00542E5C"/>
    <w:rsid w:val="00543E63"/>
    <w:rsid w:val="00544931"/>
    <w:rsid w:val="00545654"/>
    <w:rsid w:val="00546E26"/>
    <w:rsid w:val="00550E3F"/>
    <w:rsid w:val="00552055"/>
    <w:rsid w:val="00553F23"/>
    <w:rsid w:val="00555611"/>
    <w:rsid w:val="00556F07"/>
    <w:rsid w:val="00560005"/>
    <w:rsid w:val="00560025"/>
    <w:rsid w:val="00560779"/>
    <w:rsid w:val="00560906"/>
    <w:rsid w:val="005631A7"/>
    <w:rsid w:val="005643D0"/>
    <w:rsid w:val="0056472A"/>
    <w:rsid w:val="005658B3"/>
    <w:rsid w:val="00565929"/>
    <w:rsid w:val="00566710"/>
    <w:rsid w:val="0057000C"/>
    <w:rsid w:val="005701F7"/>
    <w:rsid w:val="00570D6F"/>
    <w:rsid w:val="00570FBF"/>
    <w:rsid w:val="00572E65"/>
    <w:rsid w:val="005774D5"/>
    <w:rsid w:val="0057790A"/>
    <w:rsid w:val="005824A6"/>
    <w:rsid w:val="00584816"/>
    <w:rsid w:val="00584CF4"/>
    <w:rsid w:val="00585CCD"/>
    <w:rsid w:val="00585FF4"/>
    <w:rsid w:val="00586753"/>
    <w:rsid w:val="0058688D"/>
    <w:rsid w:val="00586D9C"/>
    <w:rsid w:val="00587561"/>
    <w:rsid w:val="00587F53"/>
    <w:rsid w:val="005922B0"/>
    <w:rsid w:val="0059301A"/>
    <w:rsid w:val="00593443"/>
    <w:rsid w:val="00593F38"/>
    <w:rsid w:val="00595587"/>
    <w:rsid w:val="00595733"/>
    <w:rsid w:val="00596CDF"/>
    <w:rsid w:val="005972B0"/>
    <w:rsid w:val="005977E1"/>
    <w:rsid w:val="005A3570"/>
    <w:rsid w:val="005A64F5"/>
    <w:rsid w:val="005A743D"/>
    <w:rsid w:val="005A7A58"/>
    <w:rsid w:val="005A7B17"/>
    <w:rsid w:val="005B22FE"/>
    <w:rsid w:val="005B7897"/>
    <w:rsid w:val="005C0637"/>
    <w:rsid w:val="005C0D33"/>
    <w:rsid w:val="005C2B52"/>
    <w:rsid w:val="005C2D20"/>
    <w:rsid w:val="005C4B33"/>
    <w:rsid w:val="005C538F"/>
    <w:rsid w:val="005C6DE9"/>
    <w:rsid w:val="005D0F30"/>
    <w:rsid w:val="005D0FF5"/>
    <w:rsid w:val="005D1D4E"/>
    <w:rsid w:val="005D24EC"/>
    <w:rsid w:val="005D2925"/>
    <w:rsid w:val="005D2B46"/>
    <w:rsid w:val="005D2EE4"/>
    <w:rsid w:val="005D36D9"/>
    <w:rsid w:val="005D3EB6"/>
    <w:rsid w:val="005E0B35"/>
    <w:rsid w:val="005E2B1C"/>
    <w:rsid w:val="005E4B3D"/>
    <w:rsid w:val="005E6B67"/>
    <w:rsid w:val="005E7404"/>
    <w:rsid w:val="005F137F"/>
    <w:rsid w:val="005F2CE7"/>
    <w:rsid w:val="005F4ADB"/>
    <w:rsid w:val="005F4F7E"/>
    <w:rsid w:val="005F77A5"/>
    <w:rsid w:val="0060028E"/>
    <w:rsid w:val="00600E60"/>
    <w:rsid w:val="006047B0"/>
    <w:rsid w:val="0060673F"/>
    <w:rsid w:val="00606A78"/>
    <w:rsid w:val="00607E95"/>
    <w:rsid w:val="006102D8"/>
    <w:rsid w:val="006102E1"/>
    <w:rsid w:val="006104AC"/>
    <w:rsid w:val="006120BC"/>
    <w:rsid w:val="0061279D"/>
    <w:rsid w:val="006137A5"/>
    <w:rsid w:val="00613F74"/>
    <w:rsid w:val="00614C5F"/>
    <w:rsid w:val="006170D0"/>
    <w:rsid w:val="0061770F"/>
    <w:rsid w:val="00624BAD"/>
    <w:rsid w:val="006252AF"/>
    <w:rsid w:val="00626A5F"/>
    <w:rsid w:val="00626AF7"/>
    <w:rsid w:val="00627E4C"/>
    <w:rsid w:val="006308C6"/>
    <w:rsid w:val="00631FE1"/>
    <w:rsid w:val="00632B3C"/>
    <w:rsid w:val="006331BB"/>
    <w:rsid w:val="00633F93"/>
    <w:rsid w:val="006343F5"/>
    <w:rsid w:val="006353B4"/>
    <w:rsid w:val="00635921"/>
    <w:rsid w:val="00636DFF"/>
    <w:rsid w:val="006418FA"/>
    <w:rsid w:val="006422AC"/>
    <w:rsid w:val="00642E05"/>
    <w:rsid w:val="00645542"/>
    <w:rsid w:val="00646C72"/>
    <w:rsid w:val="00651EC1"/>
    <w:rsid w:val="006537C0"/>
    <w:rsid w:val="0065388D"/>
    <w:rsid w:val="00653CFD"/>
    <w:rsid w:val="006544F0"/>
    <w:rsid w:val="00654EBD"/>
    <w:rsid w:val="00655F6B"/>
    <w:rsid w:val="00656611"/>
    <w:rsid w:val="006567A8"/>
    <w:rsid w:val="00657844"/>
    <w:rsid w:val="00660C9A"/>
    <w:rsid w:val="006625DB"/>
    <w:rsid w:val="00663764"/>
    <w:rsid w:val="00663988"/>
    <w:rsid w:val="006659F5"/>
    <w:rsid w:val="00665BB3"/>
    <w:rsid w:val="0066689F"/>
    <w:rsid w:val="0066718D"/>
    <w:rsid w:val="00667280"/>
    <w:rsid w:val="00667AEC"/>
    <w:rsid w:val="00670185"/>
    <w:rsid w:val="00670398"/>
    <w:rsid w:val="006709CE"/>
    <w:rsid w:val="00671443"/>
    <w:rsid w:val="00671E03"/>
    <w:rsid w:val="00673CCC"/>
    <w:rsid w:val="00674C4A"/>
    <w:rsid w:val="0067568E"/>
    <w:rsid w:val="00675EF3"/>
    <w:rsid w:val="00676CA2"/>
    <w:rsid w:val="006776C9"/>
    <w:rsid w:val="006776FA"/>
    <w:rsid w:val="006815DE"/>
    <w:rsid w:val="00681E13"/>
    <w:rsid w:val="006837D6"/>
    <w:rsid w:val="00687722"/>
    <w:rsid w:val="0069121D"/>
    <w:rsid w:val="00691BA7"/>
    <w:rsid w:val="00694BCF"/>
    <w:rsid w:val="0069501C"/>
    <w:rsid w:val="006953F9"/>
    <w:rsid w:val="0069652A"/>
    <w:rsid w:val="006A06C2"/>
    <w:rsid w:val="006A0EDF"/>
    <w:rsid w:val="006A3510"/>
    <w:rsid w:val="006A3EB7"/>
    <w:rsid w:val="006A5301"/>
    <w:rsid w:val="006A5C0F"/>
    <w:rsid w:val="006A6039"/>
    <w:rsid w:val="006A6076"/>
    <w:rsid w:val="006B0963"/>
    <w:rsid w:val="006B0FFF"/>
    <w:rsid w:val="006B135F"/>
    <w:rsid w:val="006B3FC4"/>
    <w:rsid w:val="006B4EA8"/>
    <w:rsid w:val="006B5A8F"/>
    <w:rsid w:val="006B5F09"/>
    <w:rsid w:val="006B7735"/>
    <w:rsid w:val="006C1D62"/>
    <w:rsid w:val="006C1F76"/>
    <w:rsid w:val="006C307F"/>
    <w:rsid w:val="006C4CEA"/>
    <w:rsid w:val="006C4E55"/>
    <w:rsid w:val="006C4FDE"/>
    <w:rsid w:val="006C5160"/>
    <w:rsid w:val="006C5FAE"/>
    <w:rsid w:val="006D170D"/>
    <w:rsid w:val="006D222E"/>
    <w:rsid w:val="006D2690"/>
    <w:rsid w:val="006D26E5"/>
    <w:rsid w:val="006D2801"/>
    <w:rsid w:val="006D3231"/>
    <w:rsid w:val="006D5CC8"/>
    <w:rsid w:val="006D7C46"/>
    <w:rsid w:val="006E02D3"/>
    <w:rsid w:val="006E3A3B"/>
    <w:rsid w:val="006E3C7A"/>
    <w:rsid w:val="006E50CC"/>
    <w:rsid w:val="006E70E9"/>
    <w:rsid w:val="006E730C"/>
    <w:rsid w:val="006E7B73"/>
    <w:rsid w:val="006E7FCE"/>
    <w:rsid w:val="006F0593"/>
    <w:rsid w:val="006F350A"/>
    <w:rsid w:val="006F709F"/>
    <w:rsid w:val="006F72C3"/>
    <w:rsid w:val="007011E0"/>
    <w:rsid w:val="00701E32"/>
    <w:rsid w:val="00702669"/>
    <w:rsid w:val="00702A9A"/>
    <w:rsid w:val="00702B0A"/>
    <w:rsid w:val="00703B70"/>
    <w:rsid w:val="007040F3"/>
    <w:rsid w:val="007044CB"/>
    <w:rsid w:val="007074F6"/>
    <w:rsid w:val="007076E3"/>
    <w:rsid w:val="00707E20"/>
    <w:rsid w:val="007163CB"/>
    <w:rsid w:val="00716E84"/>
    <w:rsid w:val="00720D5D"/>
    <w:rsid w:val="00720F92"/>
    <w:rsid w:val="00721AAE"/>
    <w:rsid w:val="007236EA"/>
    <w:rsid w:val="0072446E"/>
    <w:rsid w:val="00725C9F"/>
    <w:rsid w:val="00726D60"/>
    <w:rsid w:val="00727776"/>
    <w:rsid w:val="007378FE"/>
    <w:rsid w:val="00742A02"/>
    <w:rsid w:val="00743464"/>
    <w:rsid w:val="00743C87"/>
    <w:rsid w:val="00745D3C"/>
    <w:rsid w:val="00745FC9"/>
    <w:rsid w:val="007478B7"/>
    <w:rsid w:val="0075063B"/>
    <w:rsid w:val="00751D3D"/>
    <w:rsid w:val="00751F75"/>
    <w:rsid w:val="00753682"/>
    <w:rsid w:val="00753E67"/>
    <w:rsid w:val="007541FC"/>
    <w:rsid w:val="00754CB0"/>
    <w:rsid w:val="00756A77"/>
    <w:rsid w:val="0075765B"/>
    <w:rsid w:val="0076105F"/>
    <w:rsid w:val="007638DB"/>
    <w:rsid w:val="00763910"/>
    <w:rsid w:val="00763D0F"/>
    <w:rsid w:val="00770129"/>
    <w:rsid w:val="00770970"/>
    <w:rsid w:val="00770CC0"/>
    <w:rsid w:val="00771070"/>
    <w:rsid w:val="007718AA"/>
    <w:rsid w:val="00772526"/>
    <w:rsid w:val="00774D6D"/>
    <w:rsid w:val="007767F5"/>
    <w:rsid w:val="007772FB"/>
    <w:rsid w:val="007802F6"/>
    <w:rsid w:val="0078177E"/>
    <w:rsid w:val="00781867"/>
    <w:rsid w:val="0078230C"/>
    <w:rsid w:val="0078325E"/>
    <w:rsid w:val="007837CB"/>
    <w:rsid w:val="007842E5"/>
    <w:rsid w:val="00785803"/>
    <w:rsid w:val="00785C40"/>
    <w:rsid w:val="00785E46"/>
    <w:rsid w:val="00786C13"/>
    <w:rsid w:val="00790C9C"/>
    <w:rsid w:val="00791978"/>
    <w:rsid w:val="0079283B"/>
    <w:rsid w:val="00792DC9"/>
    <w:rsid w:val="00796316"/>
    <w:rsid w:val="007976BD"/>
    <w:rsid w:val="007A1AA1"/>
    <w:rsid w:val="007A2C31"/>
    <w:rsid w:val="007A3111"/>
    <w:rsid w:val="007A33D7"/>
    <w:rsid w:val="007A46A1"/>
    <w:rsid w:val="007A4A26"/>
    <w:rsid w:val="007A4A2D"/>
    <w:rsid w:val="007A65FB"/>
    <w:rsid w:val="007A795D"/>
    <w:rsid w:val="007A7D09"/>
    <w:rsid w:val="007B0457"/>
    <w:rsid w:val="007B0528"/>
    <w:rsid w:val="007B0B79"/>
    <w:rsid w:val="007B145B"/>
    <w:rsid w:val="007B2B0A"/>
    <w:rsid w:val="007B3A4A"/>
    <w:rsid w:val="007B449C"/>
    <w:rsid w:val="007B6B03"/>
    <w:rsid w:val="007B7847"/>
    <w:rsid w:val="007C0459"/>
    <w:rsid w:val="007C0550"/>
    <w:rsid w:val="007C07DA"/>
    <w:rsid w:val="007C0A51"/>
    <w:rsid w:val="007C0C78"/>
    <w:rsid w:val="007C13D9"/>
    <w:rsid w:val="007C1FFA"/>
    <w:rsid w:val="007C2AEF"/>
    <w:rsid w:val="007C2CB9"/>
    <w:rsid w:val="007C355C"/>
    <w:rsid w:val="007C357B"/>
    <w:rsid w:val="007C3BF1"/>
    <w:rsid w:val="007C4BF9"/>
    <w:rsid w:val="007C5508"/>
    <w:rsid w:val="007C796F"/>
    <w:rsid w:val="007C7CFE"/>
    <w:rsid w:val="007C7ED7"/>
    <w:rsid w:val="007D007F"/>
    <w:rsid w:val="007D06ED"/>
    <w:rsid w:val="007D10BB"/>
    <w:rsid w:val="007D1E1F"/>
    <w:rsid w:val="007D1F36"/>
    <w:rsid w:val="007D2101"/>
    <w:rsid w:val="007D2C80"/>
    <w:rsid w:val="007D2E14"/>
    <w:rsid w:val="007D48A0"/>
    <w:rsid w:val="007D4965"/>
    <w:rsid w:val="007D521D"/>
    <w:rsid w:val="007D5D2C"/>
    <w:rsid w:val="007D666A"/>
    <w:rsid w:val="007D7757"/>
    <w:rsid w:val="007D78FF"/>
    <w:rsid w:val="007E1D40"/>
    <w:rsid w:val="007E1EED"/>
    <w:rsid w:val="007E52D0"/>
    <w:rsid w:val="007E568A"/>
    <w:rsid w:val="007E5740"/>
    <w:rsid w:val="007E5ED7"/>
    <w:rsid w:val="007E6048"/>
    <w:rsid w:val="007E797D"/>
    <w:rsid w:val="007E7CF2"/>
    <w:rsid w:val="007F1FD9"/>
    <w:rsid w:val="007F228C"/>
    <w:rsid w:val="007F26FA"/>
    <w:rsid w:val="007F38CB"/>
    <w:rsid w:val="007F3DDF"/>
    <w:rsid w:val="007F473F"/>
    <w:rsid w:val="007F4EA6"/>
    <w:rsid w:val="007F5002"/>
    <w:rsid w:val="007F73B7"/>
    <w:rsid w:val="008013D9"/>
    <w:rsid w:val="0080259B"/>
    <w:rsid w:val="00803165"/>
    <w:rsid w:val="00803EFD"/>
    <w:rsid w:val="00805C8E"/>
    <w:rsid w:val="00806017"/>
    <w:rsid w:val="00806497"/>
    <w:rsid w:val="008065AF"/>
    <w:rsid w:val="00807D8F"/>
    <w:rsid w:val="00807FB0"/>
    <w:rsid w:val="008101DD"/>
    <w:rsid w:val="00810747"/>
    <w:rsid w:val="00810909"/>
    <w:rsid w:val="00810E1B"/>
    <w:rsid w:val="00811955"/>
    <w:rsid w:val="00811B06"/>
    <w:rsid w:val="00812E5D"/>
    <w:rsid w:val="0081494D"/>
    <w:rsid w:val="008167FA"/>
    <w:rsid w:val="00817F35"/>
    <w:rsid w:val="00817FB8"/>
    <w:rsid w:val="00820695"/>
    <w:rsid w:val="00824D6D"/>
    <w:rsid w:val="00826C47"/>
    <w:rsid w:val="00827566"/>
    <w:rsid w:val="00827BEE"/>
    <w:rsid w:val="00831820"/>
    <w:rsid w:val="00832614"/>
    <w:rsid w:val="00834023"/>
    <w:rsid w:val="0083429A"/>
    <w:rsid w:val="008349C0"/>
    <w:rsid w:val="00835963"/>
    <w:rsid w:val="00835CFB"/>
    <w:rsid w:val="0083630C"/>
    <w:rsid w:val="00837818"/>
    <w:rsid w:val="00837F83"/>
    <w:rsid w:val="008418D4"/>
    <w:rsid w:val="00841D05"/>
    <w:rsid w:val="0084341F"/>
    <w:rsid w:val="00843BFA"/>
    <w:rsid w:val="0084461A"/>
    <w:rsid w:val="008449D7"/>
    <w:rsid w:val="00845081"/>
    <w:rsid w:val="008450C6"/>
    <w:rsid w:val="008462C7"/>
    <w:rsid w:val="008469CD"/>
    <w:rsid w:val="00846A3C"/>
    <w:rsid w:val="008470E6"/>
    <w:rsid w:val="008502AE"/>
    <w:rsid w:val="00850F6D"/>
    <w:rsid w:val="008525D7"/>
    <w:rsid w:val="008539A5"/>
    <w:rsid w:val="00854A0E"/>
    <w:rsid w:val="00855092"/>
    <w:rsid w:val="00862FCB"/>
    <w:rsid w:val="008638A6"/>
    <w:rsid w:val="008644CE"/>
    <w:rsid w:val="008679B0"/>
    <w:rsid w:val="00871C2A"/>
    <w:rsid w:val="0087357B"/>
    <w:rsid w:val="008769E8"/>
    <w:rsid w:val="008778FA"/>
    <w:rsid w:val="00881C4A"/>
    <w:rsid w:val="008821F5"/>
    <w:rsid w:val="0088353A"/>
    <w:rsid w:val="00883EB8"/>
    <w:rsid w:val="00883FBB"/>
    <w:rsid w:val="00884F47"/>
    <w:rsid w:val="00884FCC"/>
    <w:rsid w:val="00890821"/>
    <w:rsid w:val="00891548"/>
    <w:rsid w:val="00892715"/>
    <w:rsid w:val="00893CAA"/>
    <w:rsid w:val="00894139"/>
    <w:rsid w:val="008941B5"/>
    <w:rsid w:val="00895050"/>
    <w:rsid w:val="00895995"/>
    <w:rsid w:val="00896CFC"/>
    <w:rsid w:val="008974B5"/>
    <w:rsid w:val="008A004B"/>
    <w:rsid w:val="008A02DE"/>
    <w:rsid w:val="008A0FCF"/>
    <w:rsid w:val="008A1032"/>
    <w:rsid w:val="008A19B5"/>
    <w:rsid w:val="008A1E61"/>
    <w:rsid w:val="008A1E90"/>
    <w:rsid w:val="008A4BAC"/>
    <w:rsid w:val="008A52C6"/>
    <w:rsid w:val="008A566B"/>
    <w:rsid w:val="008A5FFE"/>
    <w:rsid w:val="008B090F"/>
    <w:rsid w:val="008B1FEE"/>
    <w:rsid w:val="008B2001"/>
    <w:rsid w:val="008B2054"/>
    <w:rsid w:val="008B20A9"/>
    <w:rsid w:val="008B2E2D"/>
    <w:rsid w:val="008B4322"/>
    <w:rsid w:val="008B56F7"/>
    <w:rsid w:val="008B59BA"/>
    <w:rsid w:val="008B638B"/>
    <w:rsid w:val="008B74E2"/>
    <w:rsid w:val="008C19D1"/>
    <w:rsid w:val="008C3141"/>
    <w:rsid w:val="008C4211"/>
    <w:rsid w:val="008C6871"/>
    <w:rsid w:val="008C73E2"/>
    <w:rsid w:val="008D1919"/>
    <w:rsid w:val="008D3232"/>
    <w:rsid w:val="008D36A9"/>
    <w:rsid w:val="008D563B"/>
    <w:rsid w:val="008D6024"/>
    <w:rsid w:val="008D77EE"/>
    <w:rsid w:val="008E111C"/>
    <w:rsid w:val="008E1DBB"/>
    <w:rsid w:val="008E426B"/>
    <w:rsid w:val="008E587A"/>
    <w:rsid w:val="008E5DDC"/>
    <w:rsid w:val="008E6063"/>
    <w:rsid w:val="008E69C9"/>
    <w:rsid w:val="008E6F0B"/>
    <w:rsid w:val="008E7242"/>
    <w:rsid w:val="008E75AF"/>
    <w:rsid w:val="008E7D1F"/>
    <w:rsid w:val="008F36A7"/>
    <w:rsid w:val="008F37DE"/>
    <w:rsid w:val="008F399D"/>
    <w:rsid w:val="008F576E"/>
    <w:rsid w:val="008F5CF3"/>
    <w:rsid w:val="008F6B8F"/>
    <w:rsid w:val="008F76CD"/>
    <w:rsid w:val="00900CB4"/>
    <w:rsid w:val="00902488"/>
    <w:rsid w:val="00903459"/>
    <w:rsid w:val="009045DA"/>
    <w:rsid w:val="0090628E"/>
    <w:rsid w:val="009106D7"/>
    <w:rsid w:val="00910B40"/>
    <w:rsid w:val="009115D4"/>
    <w:rsid w:val="00912D58"/>
    <w:rsid w:val="009137E2"/>
    <w:rsid w:val="00913C4A"/>
    <w:rsid w:val="009140AB"/>
    <w:rsid w:val="00914298"/>
    <w:rsid w:val="0091775C"/>
    <w:rsid w:val="00920098"/>
    <w:rsid w:val="00921133"/>
    <w:rsid w:val="00921566"/>
    <w:rsid w:val="0092160A"/>
    <w:rsid w:val="0092257B"/>
    <w:rsid w:val="009236D5"/>
    <w:rsid w:val="00924636"/>
    <w:rsid w:val="0092524B"/>
    <w:rsid w:val="009319E8"/>
    <w:rsid w:val="00931D53"/>
    <w:rsid w:val="00932495"/>
    <w:rsid w:val="00933DB8"/>
    <w:rsid w:val="009344FB"/>
    <w:rsid w:val="0093653F"/>
    <w:rsid w:val="009372E6"/>
    <w:rsid w:val="00942AC3"/>
    <w:rsid w:val="00943FF4"/>
    <w:rsid w:val="00945807"/>
    <w:rsid w:val="00946EEF"/>
    <w:rsid w:val="00952486"/>
    <w:rsid w:val="009541B1"/>
    <w:rsid w:val="0095503E"/>
    <w:rsid w:val="00955212"/>
    <w:rsid w:val="00956AE8"/>
    <w:rsid w:val="00956EA3"/>
    <w:rsid w:val="00957188"/>
    <w:rsid w:val="00960312"/>
    <w:rsid w:val="00960D30"/>
    <w:rsid w:val="009610D3"/>
    <w:rsid w:val="009610DF"/>
    <w:rsid w:val="0096207D"/>
    <w:rsid w:val="0096359F"/>
    <w:rsid w:val="009635AE"/>
    <w:rsid w:val="00963B87"/>
    <w:rsid w:val="009645EC"/>
    <w:rsid w:val="009651EA"/>
    <w:rsid w:val="00966A3F"/>
    <w:rsid w:val="00970381"/>
    <w:rsid w:val="00971170"/>
    <w:rsid w:val="00972203"/>
    <w:rsid w:val="0097676D"/>
    <w:rsid w:val="00976921"/>
    <w:rsid w:val="009769EE"/>
    <w:rsid w:val="009773D8"/>
    <w:rsid w:val="0097740F"/>
    <w:rsid w:val="00981050"/>
    <w:rsid w:val="0098256B"/>
    <w:rsid w:val="00982895"/>
    <w:rsid w:val="009830F9"/>
    <w:rsid w:val="00984E5C"/>
    <w:rsid w:val="00986BE1"/>
    <w:rsid w:val="00987CB8"/>
    <w:rsid w:val="00990141"/>
    <w:rsid w:val="009903C2"/>
    <w:rsid w:val="00990E04"/>
    <w:rsid w:val="009936C5"/>
    <w:rsid w:val="00993C32"/>
    <w:rsid w:val="00994FBD"/>
    <w:rsid w:val="00996420"/>
    <w:rsid w:val="009A0586"/>
    <w:rsid w:val="009A0C10"/>
    <w:rsid w:val="009A0C8F"/>
    <w:rsid w:val="009A144A"/>
    <w:rsid w:val="009A2C1E"/>
    <w:rsid w:val="009A3A93"/>
    <w:rsid w:val="009A562B"/>
    <w:rsid w:val="009A63F6"/>
    <w:rsid w:val="009A6501"/>
    <w:rsid w:val="009A6862"/>
    <w:rsid w:val="009A74B6"/>
    <w:rsid w:val="009B06D0"/>
    <w:rsid w:val="009B094A"/>
    <w:rsid w:val="009B0C64"/>
    <w:rsid w:val="009B1C9E"/>
    <w:rsid w:val="009B1CCB"/>
    <w:rsid w:val="009B1FBA"/>
    <w:rsid w:val="009B20D6"/>
    <w:rsid w:val="009B4555"/>
    <w:rsid w:val="009B4624"/>
    <w:rsid w:val="009B46EA"/>
    <w:rsid w:val="009B4D96"/>
    <w:rsid w:val="009B57DC"/>
    <w:rsid w:val="009B7160"/>
    <w:rsid w:val="009B7F3B"/>
    <w:rsid w:val="009C2434"/>
    <w:rsid w:val="009C2813"/>
    <w:rsid w:val="009C5599"/>
    <w:rsid w:val="009C5C4C"/>
    <w:rsid w:val="009C5EFC"/>
    <w:rsid w:val="009D0A54"/>
    <w:rsid w:val="009D0E61"/>
    <w:rsid w:val="009D1428"/>
    <w:rsid w:val="009E10FD"/>
    <w:rsid w:val="009E18B3"/>
    <w:rsid w:val="009E22F6"/>
    <w:rsid w:val="009E27D3"/>
    <w:rsid w:val="009E3DF9"/>
    <w:rsid w:val="009E54EF"/>
    <w:rsid w:val="009E5944"/>
    <w:rsid w:val="009E5A5E"/>
    <w:rsid w:val="009F08D1"/>
    <w:rsid w:val="009F0D3A"/>
    <w:rsid w:val="009F0EEB"/>
    <w:rsid w:val="009F3862"/>
    <w:rsid w:val="009F5535"/>
    <w:rsid w:val="00A00FCA"/>
    <w:rsid w:val="00A02867"/>
    <w:rsid w:val="00A065FC"/>
    <w:rsid w:val="00A11B33"/>
    <w:rsid w:val="00A12C21"/>
    <w:rsid w:val="00A12C7C"/>
    <w:rsid w:val="00A13AD0"/>
    <w:rsid w:val="00A1406C"/>
    <w:rsid w:val="00A15673"/>
    <w:rsid w:val="00A163CB"/>
    <w:rsid w:val="00A1675F"/>
    <w:rsid w:val="00A17413"/>
    <w:rsid w:val="00A20043"/>
    <w:rsid w:val="00A23BC3"/>
    <w:rsid w:val="00A2602B"/>
    <w:rsid w:val="00A35467"/>
    <w:rsid w:val="00A365C0"/>
    <w:rsid w:val="00A404A4"/>
    <w:rsid w:val="00A411D1"/>
    <w:rsid w:val="00A41338"/>
    <w:rsid w:val="00A421F7"/>
    <w:rsid w:val="00A425E1"/>
    <w:rsid w:val="00A43595"/>
    <w:rsid w:val="00A4366F"/>
    <w:rsid w:val="00A44766"/>
    <w:rsid w:val="00A45540"/>
    <w:rsid w:val="00A4615A"/>
    <w:rsid w:val="00A46D8D"/>
    <w:rsid w:val="00A51528"/>
    <w:rsid w:val="00A51BF7"/>
    <w:rsid w:val="00A51CDD"/>
    <w:rsid w:val="00A539A4"/>
    <w:rsid w:val="00A53E82"/>
    <w:rsid w:val="00A5469E"/>
    <w:rsid w:val="00A546F2"/>
    <w:rsid w:val="00A56147"/>
    <w:rsid w:val="00A56619"/>
    <w:rsid w:val="00A62445"/>
    <w:rsid w:val="00A65247"/>
    <w:rsid w:val="00A6553D"/>
    <w:rsid w:val="00A6612F"/>
    <w:rsid w:val="00A661E8"/>
    <w:rsid w:val="00A66ED4"/>
    <w:rsid w:val="00A679CB"/>
    <w:rsid w:val="00A67D2A"/>
    <w:rsid w:val="00A67D54"/>
    <w:rsid w:val="00A701B2"/>
    <w:rsid w:val="00A71F63"/>
    <w:rsid w:val="00A72109"/>
    <w:rsid w:val="00A7261D"/>
    <w:rsid w:val="00A72DF7"/>
    <w:rsid w:val="00A73356"/>
    <w:rsid w:val="00A740C6"/>
    <w:rsid w:val="00A75457"/>
    <w:rsid w:val="00A77413"/>
    <w:rsid w:val="00A7752F"/>
    <w:rsid w:val="00A860E1"/>
    <w:rsid w:val="00A86340"/>
    <w:rsid w:val="00A8689B"/>
    <w:rsid w:val="00A877AD"/>
    <w:rsid w:val="00A87961"/>
    <w:rsid w:val="00A91BA9"/>
    <w:rsid w:val="00A924B3"/>
    <w:rsid w:val="00A925DD"/>
    <w:rsid w:val="00A9357E"/>
    <w:rsid w:val="00A94874"/>
    <w:rsid w:val="00A96F9D"/>
    <w:rsid w:val="00A96FDF"/>
    <w:rsid w:val="00A9749B"/>
    <w:rsid w:val="00A97F0B"/>
    <w:rsid w:val="00AA07BA"/>
    <w:rsid w:val="00AA2E92"/>
    <w:rsid w:val="00AA3E88"/>
    <w:rsid w:val="00AB1601"/>
    <w:rsid w:val="00AB1CE1"/>
    <w:rsid w:val="00AB215E"/>
    <w:rsid w:val="00AB2AA6"/>
    <w:rsid w:val="00AB309C"/>
    <w:rsid w:val="00AB33F2"/>
    <w:rsid w:val="00AB3F2B"/>
    <w:rsid w:val="00AB4A3C"/>
    <w:rsid w:val="00AB755F"/>
    <w:rsid w:val="00AC04A6"/>
    <w:rsid w:val="00AC0832"/>
    <w:rsid w:val="00AC1E46"/>
    <w:rsid w:val="00AC23D9"/>
    <w:rsid w:val="00AC27F0"/>
    <w:rsid w:val="00AC2CE9"/>
    <w:rsid w:val="00AC4464"/>
    <w:rsid w:val="00AC543F"/>
    <w:rsid w:val="00AC5552"/>
    <w:rsid w:val="00AC5AE3"/>
    <w:rsid w:val="00AC6D22"/>
    <w:rsid w:val="00AC75FB"/>
    <w:rsid w:val="00AD0409"/>
    <w:rsid w:val="00AD38E8"/>
    <w:rsid w:val="00AD5220"/>
    <w:rsid w:val="00AD6184"/>
    <w:rsid w:val="00AD6EE6"/>
    <w:rsid w:val="00AD7372"/>
    <w:rsid w:val="00AE1F6F"/>
    <w:rsid w:val="00AE2C4A"/>
    <w:rsid w:val="00AE2F79"/>
    <w:rsid w:val="00AE319A"/>
    <w:rsid w:val="00AE3E81"/>
    <w:rsid w:val="00AE5678"/>
    <w:rsid w:val="00AE72E0"/>
    <w:rsid w:val="00AE7BD0"/>
    <w:rsid w:val="00AE7EA1"/>
    <w:rsid w:val="00AF0457"/>
    <w:rsid w:val="00AF054A"/>
    <w:rsid w:val="00AF2B7E"/>
    <w:rsid w:val="00AF4358"/>
    <w:rsid w:val="00AF54AC"/>
    <w:rsid w:val="00AF6059"/>
    <w:rsid w:val="00B00079"/>
    <w:rsid w:val="00B0379F"/>
    <w:rsid w:val="00B0515F"/>
    <w:rsid w:val="00B0557C"/>
    <w:rsid w:val="00B05AF4"/>
    <w:rsid w:val="00B06B10"/>
    <w:rsid w:val="00B0738D"/>
    <w:rsid w:val="00B07E5B"/>
    <w:rsid w:val="00B10B03"/>
    <w:rsid w:val="00B12587"/>
    <w:rsid w:val="00B12E83"/>
    <w:rsid w:val="00B139B1"/>
    <w:rsid w:val="00B13CBD"/>
    <w:rsid w:val="00B15BA6"/>
    <w:rsid w:val="00B202DD"/>
    <w:rsid w:val="00B2292E"/>
    <w:rsid w:val="00B22BC7"/>
    <w:rsid w:val="00B2397A"/>
    <w:rsid w:val="00B243A9"/>
    <w:rsid w:val="00B248AF"/>
    <w:rsid w:val="00B253E6"/>
    <w:rsid w:val="00B2556F"/>
    <w:rsid w:val="00B2564A"/>
    <w:rsid w:val="00B323E1"/>
    <w:rsid w:val="00B34321"/>
    <w:rsid w:val="00B354DE"/>
    <w:rsid w:val="00B3553E"/>
    <w:rsid w:val="00B37C57"/>
    <w:rsid w:val="00B40426"/>
    <w:rsid w:val="00B408CF"/>
    <w:rsid w:val="00B41349"/>
    <w:rsid w:val="00B415FC"/>
    <w:rsid w:val="00B420F1"/>
    <w:rsid w:val="00B42685"/>
    <w:rsid w:val="00B42771"/>
    <w:rsid w:val="00B431C5"/>
    <w:rsid w:val="00B438A1"/>
    <w:rsid w:val="00B44A83"/>
    <w:rsid w:val="00B467BA"/>
    <w:rsid w:val="00B500C3"/>
    <w:rsid w:val="00B534DC"/>
    <w:rsid w:val="00B542DC"/>
    <w:rsid w:val="00B542FA"/>
    <w:rsid w:val="00B55683"/>
    <w:rsid w:val="00B57C1C"/>
    <w:rsid w:val="00B60077"/>
    <w:rsid w:val="00B60432"/>
    <w:rsid w:val="00B6106E"/>
    <w:rsid w:val="00B62809"/>
    <w:rsid w:val="00B6439B"/>
    <w:rsid w:val="00B64DF3"/>
    <w:rsid w:val="00B6646E"/>
    <w:rsid w:val="00B66F50"/>
    <w:rsid w:val="00B6701D"/>
    <w:rsid w:val="00B70AC3"/>
    <w:rsid w:val="00B70B86"/>
    <w:rsid w:val="00B72179"/>
    <w:rsid w:val="00B74A70"/>
    <w:rsid w:val="00B74D06"/>
    <w:rsid w:val="00B8020A"/>
    <w:rsid w:val="00B909C6"/>
    <w:rsid w:val="00B93051"/>
    <w:rsid w:val="00B971DF"/>
    <w:rsid w:val="00B975FC"/>
    <w:rsid w:val="00BA05A1"/>
    <w:rsid w:val="00BA10CA"/>
    <w:rsid w:val="00BA22FD"/>
    <w:rsid w:val="00BA34DB"/>
    <w:rsid w:val="00BA797D"/>
    <w:rsid w:val="00BB1AD2"/>
    <w:rsid w:val="00BB25C1"/>
    <w:rsid w:val="00BB2651"/>
    <w:rsid w:val="00BB345C"/>
    <w:rsid w:val="00BB396A"/>
    <w:rsid w:val="00BB4D39"/>
    <w:rsid w:val="00BB5BA0"/>
    <w:rsid w:val="00BB6865"/>
    <w:rsid w:val="00BB7FEA"/>
    <w:rsid w:val="00BC0266"/>
    <w:rsid w:val="00BC02E0"/>
    <w:rsid w:val="00BC086F"/>
    <w:rsid w:val="00BC37EC"/>
    <w:rsid w:val="00BC4A3B"/>
    <w:rsid w:val="00BC6CDD"/>
    <w:rsid w:val="00BC7AF1"/>
    <w:rsid w:val="00BC7C4B"/>
    <w:rsid w:val="00BD02A4"/>
    <w:rsid w:val="00BD05CA"/>
    <w:rsid w:val="00BD05E2"/>
    <w:rsid w:val="00BD1B01"/>
    <w:rsid w:val="00BD1FDE"/>
    <w:rsid w:val="00BD2995"/>
    <w:rsid w:val="00BD2C0A"/>
    <w:rsid w:val="00BD2CED"/>
    <w:rsid w:val="00BD3492"/>
    <w:rsid w:val="00BD4D85"/>
    <w:rsid w:val="00BD52E8"/>
    <w:rsid w:val="00BD6502"/>
    <w:rsid w:val="00BD761D"/>
    <w:rsid w:val="00BE0172"/>
    <w:rsid w:val="00BE05A0"/>
    <w:rsid w:val="00BE3EF6"/>
    <w:rsid w:val="00BE47BD"/>
    <w:rsid w:val="00BE51EE"/>
    <w:rsid w:val="00BE537B"/>
    <w:rsid w:val="00BE540A"/>
    <w:rsid w:val="00BE5A52"/>
    <w:rsid w:val="00BE6253"/>
    <w:rsid w:val="00BF7168"/>
    <w:rsid w:val="00BF71F6"/>
    <w:rsid w:val="00BF7804"/>
    <w:rsid w:val="00C008BA"/>
    <w:rsid w:val="00C01877"/>
    <w:rsid w:val="00C02A4D"/>
    <w:rsid w:val="00C03CBF"/>
    <w:rsid w:val="00C03F06"/>
    <w:rsid w:val="00C040F6"/>
    <w:rsid w:val="00C05A4B"/>
    <w:rsid w:val="00C05C9E"/>
    <w:rsid w:val="00C05DA6"/>
    <w:rsid w:val="00C065F0"/>
    <w:rsid w:val="00C06E9C"/>
    <w:rsid w:val="00C07993"/>
    <w:rsid w:val="00C11A5E"/>
    <w:rsid w:val="00C11DCE"/>
    <w:rsid w:val="00C12BC1"/>
    <w:rsid w:val="00C13301"/>
    <w:rsid w:val="00C147E9"/>
    <w:rsid w:val="00C1489C"/>
    <w:rsid w:val="00C16976"/>
    <w:rsid w:val="00C20DBD"/>
    <w:rsid w:val="00C21633"/>
    <w:rsid w:val="00C2245D"/>
    <w:rsid w:val="00C23C0D"/>
    <w:rsid w:val="00C24BBF"/>
    <w:rsid w:val="00C24E65"/>
    <w:rsid w:val="00C26024"/>
    <w:rsid w:val="00C31548"/>
    <w:rsid w:val="00C35704"/>
    <w:rsid w:val="00C36E7D"/>
    <w:rsid w:val="00C371A9"/>
    <w:rsid w:val="00C37330"/>
    <w:rsid w:val="00C378A2"/>
    <w:rsid w:val="00C40FEB"/>
    <w:rsid w:val="00C4109E"/>
    <w:rsid w:val="00C42360"/>
    <w:rsid w:val="00C42AF0"/>
    <w:rsid w:val="00C437AD"/>
    <w:rsid w:val="00C44EAC"/>
    <w:rsid w:val="00C4768A"/>
    <w:rsid w:val="00C47D99"/>
    <w:rsid w:val="00C5029C"/>
    <w:rsid w:val="00C51DF8"/>
    <w:rsid w:val="00C51F7B"/>
    <w:rsid w:val="00C52421"/>
    <w:rsid w:val="00C53AC5"/>
    <w:rsid w:val="00C54ACE"/>
    <w:rsid w:val="00C558BF"/>
    <w:rsid w:val="00C55F86"/>
    <w:rsid w:val="00C570A4"/>
    <w:rsid w:val="00C619AD"/>
    <w:rsid w:val="00C61A3B"/>
    <w:rsid w:val="00C63342"/>
    <w:rsid w:val="00C63CCF"/>
    <w:rsid w:val="00C64F9C"/>
    <w:rsid w:val="00C6598A"/>
    <w:rsid w:val="00C67ABF"/>
    <w:rsid w:val="00C70AD6"/>
    <w:rsid w:val="00C713C1"/>
    <w:rsid w:val="00C72F70"/>
    <w:rsid w:val="00C73D02"/>
    <w:rsid w:val="00C741D2"/>
    <w:rsid w:val="00C74233"/>
    <w:rsid w:val="00C74E91"/>
    <w:rsid w:val="00C75848"/>
    <w:rsid w:val="00C77DCC"/>
    <w:rsid w:val="00C802F7"/>
    <w:rsid w:val="00C80D72"/>
    <w:rsid w:val="00C8128D"/>
    <w:rsid w:val="00C813CD"/>
    <w:rsid w:val="00C836D9"/>
    <w:rsid w:val="00C8540D"/>
    <w:rsid w:val="00C85BCE"/>
    <w:rsid w:val="00C864E8"/>
    <w:rsid w:val="00C91AC5"/>
    <w:rsid w:val="00C91C9D"/>
    <w:rsid w:val="00C92C45"/>
    <w:rsid w:val="00C93881"/>
    <w:rsid w:val="00C97520"/>
    <w:rsid w:val="00C977BF"/>
    <w:rsid w:val="00C97A10"/>
    <w:rsid w:val="00CA1C2F"/>
    <w:rsid w:val="00CA2901"/>
    <w:rsid w:val="00CA47F2"/>
    <w:rsid w:val="00CA4BD0"/>
    <w:rsid w:val="00CA5350"/>
    <w:rsid w:val="00CA65D1"/>
    <w:rsid w:val="00CA680A"/>
    <w:rsid w:val="00CA7F13"/>
    <w:rsid w:val="00CB2A56"/>
    <w:rsid w:val="00CB2ED7"/>
    <w:rsid w:val="00CB34F8"/>
    <w:rsid w:val="00CB3873"/>
    <w:rsid w:val="00CB4119"/>
    <w:rsid w:val="00CB5694"/>
    <w:rsid w:val="00CB58C4"/>
    <w:rsid w:val="00CB7644"/>
    <w:rsid w:val="00CB79A5"/>
    <w:rsid w:val="00CC07CE"/>
    <w:rsid w:val="00CC0CAC"/>
    <w:rsid w:val="00CC1742"/>
    <w:rsid w:val="00CC2084"/>
    <w:rsid w:val="00CC3183"/>
    <w:rsid w:val="00CC358F"/>
    <w:rsid w:val="00CC3785"/>
    <w:rsid w:val="00CC6BFB"/>
    <w:rsid w:val="00CD136F"/>
    <w:rsid w:val="00CD4903"/>
    <w:rsid w:val="00CD4C26"/>
    <w:rsid w:val="00CD507C"/>
    <w:rsid w:val="00CD6571"/>
    <w:rsid w:val="00CD7D5F"/>
    <w:rsid w:val="00CE2359"/>
    <w:rsid w:val="00CE2F80"/>
    <w:rsid w:val="00CE4080"/>
    <w:rsid w:val="00CE4A88"/>
    <w:rsid w:val="00CE4C50"/>
    <w:rsid w:val="00CE535A"/>
    <w:rsid w:val="00CE72C8"/>
    <w:rsid w:val="00CE7BCF"/>
    <w:rsid w:val="00CF2E6F"/>
    <w:rsid w:val="00CF31EA"/>
    <w:rsid w:val="00CF3257"/>
    <w:rsid w:val="00CF32F8"/>
    <w:rsid w:val="00CF4359"/>
    <w:rsid w:val="00CF4EFD"/>
    <w:rsid w:val="00CF67F3"/>
    <w:rsid w:val="00CF7CA0"/>
    <w:rsid w:val="00CF7D92"/>
    <w:rsid w:val="00D00578"/>
    <w:rsid w:val="00D00D57"/>
    <w:rsid w:val="00D039E6"/>
    <w:rsid w:val="00D05322"/>
    <w:rsid w:val="00D059BE"/>
    <w:rsid w:val="00D05F15"/>
    <w:rsid w:val="00D0708F"/>
    <w:rsid w:val="00D07799"/>
    <w:rsid w:val="00D11556"/>
    <w:rsid w:val="00D123F8"/>
    <w:rsid w:val="00D13B51"/>
    <w:rsid w:val="00D1533F"/>
    <w:rsid w:val="00D15A38"/>
    <w:rsid w:val="00D1658A"/>
    <w:rsid w:val="00D16D3F"/>
    <w:rsid w:val="00D2017F"/>
    <w:rsid w:val="00D20AC8"/>
    <w:rsid w:val="00D20AFA"/>
    <w:rsid w:val="00D20D70"/>
    <w:rsid w:val="00D20DF6"/>
    <w:rsid w:val="00D21244"/>
    <w:rsid w:val="00D215BD"/>
    <w:rsid w:val="00D234A2"/>
    <w:rsid w:val="00D23FB5"/>
    <w:rsid w:val="00D24E7F"/>
    <w:rsid w:val="00D2562B"/>
    <w:rsid w:val="00D25916"/>
    <w:rsid w:val="00D26B90"/>
    <w:rsid w:val="00D272D1"/>
    <w:rsid w:val="00D3095F"/>
    <w:rsid w:val="00D310AD"/>
    <w:rsid w:val="00D3277A"/>
    <w:rsid w:val="00D37883"/>
    <w:rsid w:val="00D402D9"/>
    <w:rsid w:val="00D42A9E"/>
    <w:rsid w:val="00D43935"/>
    <w:rsid w:val="00D461A9"/>
    <w:rsid w:val="00D5022A"/>
    <w:rsid w:val="00D51F0F"/>
    <w:rsid w:val="00D5274F"/>
    <w:rsid w:val="00D540DB"/>
    <w:rsid w:val="00D5733D"/>
    <w:rsid w:val="00D60B02"/>
    <w:rsid w:val="00D6313B"/>
    <w:rsid w:val="00D634DD"/>
    <w:rsid w:val="00D635D0"/>
    <w:rsid w:val="00D65068"/>
    <w:rsid w:val="00D65AE9"/>
    <w:rsid w:val="00D669E8"/>
    <w:rsid w:val="00D671B6"/>
    <w:rsid w:val="00D708E4"/>
    <w:rsid w:val="00D72429"/>
    <w:rsid w:val="00D72E37"/>
    <w:rsid w:val="00D73FB8"/>
    <w:rsid w:val="00D757CE"/>
    <w:rsid w:val="00D77456"/>
    <w:rsid w:val="00D80089"/>
    <w:rsid w:val="00D81171"/>
    <w:rsid w:val="00D81B36"/>
    <w:rsid w:val="00D83489"/>
    <w:rsid w:val="00D835B9"/>
    <w:rsid w:val="00D8364A"/>
    <w:rsid w:val="00D83F3B"/>
    <w:rsid w:val="00D84CA8"/>
    <w:rsid w:val="00D85432"/>
    <w:rsid w:val="00D854CB"/>
    <w:rsid w:val="00D90467"/>
    <w:rsid w:val="00D90602"/>
    <w:rsid w:val="00D91540"/>
    <w:rsid w:val="00D92294"/>
    <w:rsid w:val="00D9357D"/>
    <w:rsid w:val="00D93A8A"/>
    <w:rsid w:val="00D95F66"/>
    <w:rsid w:val="00D96353"/>
    <w:rsid w:val="00D96957"/>
    <w:rsid w:val="00D97722"/>
    <w:rsid w:val="00DA2A21"/>
    <w:rsid w:val="00DA42AC"/>
    <w:rsid w:val="00DA7108"/>
    <w:rsid w:val="00DA7A75"/>
    <w:rsid w:val="00DB2472"/>
    <w:rsid w:val="00DB3762"/>
    <w:rsid w:val="00DB5D1D"/>
    <w:rsid w:val="00DB6ABA"/>
    <w:rsid w:val="00DC18AA"/>
    <w:rsid w:val="00DC1908"/>
    <w:rsid w:val="00DC1B95"/>
    <w:rsid w:val="00DC1F09"/>
    <w:rsid w:val="00DC3389"/>
    <w:rsid w:val="00DC348D"/>
    <w:rsid w:val="00DC4A03"/>
    <w:rsid w:val="00DC5B2B"/>
    <w:rsid w:val="00DC5D10"/>
    <w:rsid w:val="00DD2763"/>
    <w:rsid w:val="00DD288B"/>
    <w:rsid w:val="00DD3DDF"/>
    <w:rsid w:val="00DD3F30"/>
    <w:rsid w:val="00DD4AEB"/>
    <w:rsid w:val="00DD6EB3"/>
    <w:rsid w:val="00DE18BB"/>
    <w:rsid w:val="00DE3AFA"/>
    <w:rsid w:val="00DE44D5"/>
    <w:rsid w:val="00DE533B"/>
    <w:rsid w:val="00DE5AAE"/>
    <w:rsid w:val="00DE608A"/>
    <w:rsid w:val="00DE6113"/>
    <w:rsid w:val="00DE71D3"/>
    <w:rsid w:val="00DE7422"/>
    <w:rsid w:val="00DF262F"/>
    <w:rsid w:val="00DF2C75"/>
    <w:rsid w:val="00DF3104"/>
    <w:rsid w:val="00DF562B"/>
    <w:rsid w:val="00DF58B1"/>
    <w:rsid w:val="00DF6C63"/>
    <w:rsid w:val="00E009BF"/>
    <w:rsid w:val="00E022C6"/>
    <w:rsid w:val="00E02426"/>
    <w:rsid w:val="00E026E9"/>
    <w:rsid w:val="00E0562C"/>
    <w:rsid w:val="00E05F99"/>
    <w:rsid w:val="00E0680B"/>
    <w:rsid w:val="00E11601"/>
    <w:rsid w:val="00E11FEC"/>
    <w:rsid w:val="00E12FE4"/>
    <w:rsid w:val="00E132C2"/>
    <w:rsid w:val="00E139EA"/>
    <w:rsid w:val="00E13A2F"/>
    <w:rsid w:val="00E15358"/>
    <w:rsid w:val="00E15DC9"/>
    <w:rsid w:val="00E16027"/>
    <w:rsid w:val="00E16084"/>
    <w:rsid w:val="00E16E21"/>
    <w:rsid w:val="00E17542"/>
    <w:rsid w:val="00E2093E"/>
    <w:rsid w:val="00E20A24"/>
    <w:rsid w:val="00E224AC"/>
    <w:rsid w:val="00E22BAB"/>
    <w:rsid w:val="00E2361A"/>
    <w:rsid w:val="00E249A0"/>
    <w:rsid w:val="00E25654"/>
    <w:rsid w:val="00E26267"/>
    <w:rsid w:val="00E27815"/>
    <w:rsid w:val="00E3067B"/>
    <w:rsid w:val="00E31015"/>
    <w:rsid w:val="00E31073"/>
    <w:rsid w:val="00E31508"/>
    <w:rsid w:val="00E31CFB"/>
    <w:rsid w:val="00E328E8"/>
    <w:rsid w:val="00E32BDF"/>
    <w:rsid w:val="00E334B6"/>
    <w:rsid w:val="00E33CDD"/>
    <w:rsid w:val="00E34E26"/>
    <w:rsid w:val="00E36F7F"/>
    <w:rsid w:val="00E41774"/>
    <w:rsid w:val="00E42AA7"/>
    <w:rsid w:val="00E44E2F"/>
    <w:rsid w:val="00E4559F"/>
    <w:rsid w:val="00E46A38"/>
    <w:rsid w:val="00E50BC0"/>
    <w:rsid w:val="00E510BE"/>
    <w:rsid w:val="00E51566"/>
    <w:rsid w:val="00E52A1C"/>
    <w:rsid w:val="00E53221"/>
    <w:rsid w:val="00E54CF6"/>
    <w:rsid w:val="00E577FF"/>
    <w:rsid w:val="00E6031B"/>
    <w:rsid w:val="00E61157"/>
    <w:rsid w:val="00E611C8"/>
    <w:rsid w:val="00E65D50"/>
    <w:rsid w:val="00E66375"/>
    <w:rsid w:val="00E66D54"/>
    <w:rsid w:val="00E66EEA"/>
    <w:rsid w:val="00E71199"/>
    <w:rsid w:val="00E71955"/>
    <w:rsid w:val="00E71B11"/>
    <w:rsid w:val="00E7246C"/>
    <w:rsid w:val="00E7417C"/>
    <w:rsid w:val="00E74F03"/>
    <w:rsid w:val="00E801AA"/>
    <w:rsid w:val="00E80841"/>
    <w:rsid w:val="00E80BA3"/>
    <w:rsid w:val="00E80FCA"/>
    <w:rsid w:val="00E83B3A"/>
    <w:rsid w:val="00E83D96"/>
    <w:rsid w:val="00E850E6"/>
    <w:rsid w:val="00E85158"/>
    <w:rsid w:val="00E855D6"/>
    <w:rsid w:val="00E85639"/>
    <w:rsid w:val="00E86295"/>
    <w:rsid w:val="00E8658B"/>
    <w:rsid w:val="00E8678E"/>
    <w:rsid w:val="00E91B62"/>
    <w:rsid w:val="00E92FA2"/>
    <w:rsid w:val="00E93026"/>
    <w:rsid w:val="00E93BEC"/>
    <w:rsid w:val="00E93E46"/>
    <w:rsid w:val="00E959B0"/>
    <w:rsid w:val="00E96546"/>
    <w:rsid w:val="00E9749B"/>
    <w:rsid w:val="00EA0B4D"/>
    <w:rsid w:val="00EA16AA"/>
    <w:rsid w:val="00EA1B1D"/>
    <w:rsid w:val="00EA3208"/>
    <w:rsid w:val="00EA3B1F"/>
    <w:rsid w:val="00EA3E2A"/>
    <w:rsid w:val="00EA40D1"/>
    <w:rsid w:val="00EA603B"/>
    <w:rsid w:val="00EA6127"/>
    <w:rsid w:val="00EA7F99"/>
    <w:rsid w:val="00EB133D"/>
    <w:rsid w:val="00EB1C13"/>
    <w:rsid w:val="00EB2BB5"/>
    <w:rsid w:val="00EB418B"/>
    <w:rsid w:val="00EB4566"/>
    <w:rsid w:val="00EB6FE7"/>
    <w:rsid w:val="00EB7849"/>
    <w:rsid w:val="00EC0B3B"/>
    <w:rsid w:val="00EC0C91"/>
    <w:rsid w:val="00EC4C0F"/>
    <w:rsid w:val="00EC556B"/>
    <w:rsid w:val="00EC5A3D"/>
    <w:rsid w:val="00EC7664"/>
    <w:rsid w:val="00ED0C05"/>
    <w:rsid w:val="00ED1064"/>
    <w:rsid w:val="00ED1AD1"/>
    <w:rsid w:val="00ED2A2B"/>
    <w:rsid w:val="00ED2F83"/>
    <w:rsid w:val="00ED3995"/>
    <w:rsid w:val="00ED3E71"/>
    <w:rsid w:val="00ED4A4A"/>
    <w:rsid w:val="00ED6A2C"/>
    <w:rsid w:val="00ED76D7"/>
    <w:rsid w:val="00ED78B6"/>
    <w:rsid w:val="00EE0DD7"/>
    <w:rsid w:val="00EE1504"/>
    <w:rsid w:val="00EE1897"/>
    <w:rsid w:val="00EE27B1"/>
    <w:rsid w:val="00EE346D"/>
    <w:rsid w:val="00EE37D9"/>
    <w:rsid w:val="00EE3A00"/>
    <w:rsid w:val="00EE4F4F"/>
    <w:rsid w:val="00EE5CE3"/>
    <w:rsid w:val="00EE69C9"/>
    <w:rsid w:val="00EE771D"/>
    <w:rsid w:val="00EE7A1F"/>
    <w:rsid w:val="00EF06CB"/>
    <w:rsid w:val="00EF0BA6"/>
    <w:rsid w:val="00EF242E"/>
    <w:rsid w:val="00EF2ADE"/>
    <w:rsid w:val="00EF3390"/>
    <w:rsid w:val="00EF6534"/>
    <w:rsid w:val="00EF6C44"/>
    <w:rsid w:val="00EF739D"/>
    <w:rsid w:val="00F005C0"/>
    <w:rsid w:val="00F011BD"/>
    <w:rsid w:val="00F017FE"/>
    <w:rsid w:val="00F05B32"/>
    <w:rsid w:val="00F06F9C"/>
    <w:rsid w:val="00F121F1"/>
    <w:rsid w:val="00F12556"/>
    <w:rsid w:val="00F16EA4"/>
    <w:rsid w:val="00F1728D"/>
    <w:rsid w:val="00F208A5"/>
    <w:rsid w:val="00F21847"/>
    <w:rsid w:val="00F21C02"/>
    <w:rsid w:val="00F245BE"/>
    <w:rsid w:val="00F2499A"/>
    <w:rsid w:val="00F26BCE"/>
    <w:rsid w:val="00F30412"/>
    <w:rsid w:val="00F309F1"/>
    <w:rsid w:val="00F31051"/>
    <w:rsid w:val="00F31BEE"/>
    <w:rsid w:val="00F33024"/>
    <w:rsid w:val="00F33283"/>
    <w:rsid w:val="00F33ADC"/>
    <w:rsid w:val="00F34FA2"/>
    <w:rsid w:val="00F35442"/>
    <w:rsid w:val="00F36849"/>
    <w:rsid w:val="00F368F5"/>
    <w:rsid w:val="00F3695C"/>
    <w:rsid w:val="00F36B9B"/>
    <w:rsid w:val="00F37357"/>
    <w:rsid w:val="00F4162E"/>
    <w:rsid w:val="00F41FC4"/>
    <w:rsid w:val="00F42610"/>
    <w:rsid w:val="00F42B2E"/>
    <w:rsid w:val="00F42D63"/>
    <w:rsid w:val="00F431F4"/>
    <w:rsid w:val="00F4357D"/>
    <w:rsid w:val="00F453BE"/>
    <w:rsid w:val="00F45BE9"/>
    <w:rsid w:val="00F50334"/>
    <w:rsid w:val="00F503FA"/>
    <w:rsid w:val="00F51619"/>
    <w:rsid w:val="00F54A27"/>
    <w:rsid w:val="00F5651B"/>
    <w:rsid w:val="00F5754A"/>
    <w:rsid w:val="00F60278"/>
    <w:rsid w:val="00F60BE1"/>
    <w:rsid w:val="00F61507"/>
    <w:rsid w:val="00F61DB5"/>
    <w:rsid w:val="00F627FD"/>
    <w:rsid w:val="00F629CC"/>
    <w:rsid w:val="00F63E28"/>
    <w:rsid w:val="00F644AC"/>
    <w:rsid w:val="00F64609"/>
    <w:rsid w:val="00F6582F"/>
    <w:rsid w:val="00F671FB"/>
    <w:rsid w:val="00F710A2"/>
    <w:rsid w:val="00F7382D"/>
    <w:rsid w:val="00F7395C"/>
    <w:rsid w:val="00F75506"/>
    <w:rsid w:val="00F7556E"/>
    <w:rsid w:val="00F819F7"/>
    <w:rsid w:val="00F83629"/>
    <w:rsid w:val="00F83E89"/>
    <w:rsid w:val="00F8565D"/>
    <w:rsid w:val="00F8623A"/>
    <w:rsid w:val="00F87F3B"/>
    <w:rsid w:val="00F915C2"/>
    <w:rsid w:val="00F91EE9"/>
    <w:rsid w:val="00F91F5C"/>
    <w:rsid w:val="00F93F22"/>
    <w:rsid w:val="00F95A02"/>
    <w:rsid w:val="00F9687F"/>
    <w:rsid w:val="00F97310"/>
    <w:rsid w:val="00FA03F9"/>
    <w:rsid w:val="00FA13A5"/>
    <w:rsid w:val="00FA1CB1"/>
    <w:rsid w:val="00FA2D8A"/>
    <w:rsid w:val="00FA544C"/>
    <w:rsid w:val="00FA56FC"/>
    <w:rsid w:val="00FA5725"/>
    <w:rsid w:val="00FA79EE"/>
    <w:rsid w:val="00FA7FBA"/>
    <w:rsid w:val="00FB05F9"/>
    <w:rsid w:val="00FB2A16"/>
    <w:rsid w:val="00FB3979"/>
    <w:rsid w:val="00FB424B"/>
    <w:rsid w:val="00FB4D42"/>
    <w:rsid w:val="00FB778C"/>
    <w:rsid w:val="00FC0501"/>
    <w:rsid w:val="00FC1CE2"/>
    <w:rsid w:val="00FC1DA8"/>
    <w:rsid w:val="00FC5FD8"/>
    <w:rsid w:val="00FC6963"/>
    <w:rsid w:val="00FD1290"/>
    <w:rsid w:val="00FD2C20"/>
    <w:rsid w:val="00FD360D"/>
    <w:rsid w:val="00FD41BE"/>
    <w:rsid w:val="00FD445C"/>
    <w:rsid w:val="00FD49CC"/>
    <w:rsid w:val="00FD5401"/>
    <w:rsid w:val="00FD571C"/>
    <w:rsid w:val="00FD67D1"/>
    <w:rsid w:val="00FE0C36"/>
    <w:rsid w:val="00FE0DC4"/>
    <w:rsid w:val="00FE138D"/>
    <w:rsid w:val="00FE1BCA"/>
    <w:rsid w:val="00FE3A5F"/>
    <w:rsid w:val="00FE4220"/>
    <w:rsid w:val="00FE46E5"/>
    <w:rsid w:val="00FE48B6"/>
    <w:rsid w:val="00FF10AD"/>
    <w:rsid w:val="00FF1335"/>
    <w:rsid w:val="00FF2565"/>
    <w:rsid w:val="00FF26C8"/>
    <w:rsid w:val="00FF3A74"/>
    <w:rsid w:val="00FF3FDF"/>
    <w:rsid w:val="00FF47AB"/>
    <w:rsid w:val="00FF4E18"/>
    <w:rsid w:val="00FF5FDF"/>
    <w:rsid w:val="00FF6914"/>
    <w:rsid w:val="00FF71F1"/>
    <w:rsid w:val="014928E1"/>
    <w:rsid w:val="022F0DB1"/>
    <w:rsid w:val="024B4DE8"/>
    <w:rsid w:val="02A204BB"/>
    <w:rsid w:val="02AA383F"/>
    <w:rsid w:val="02C4718B"/>
    <w:rsid w:val="02CF09BB"/>
    <w:rsid w:val="02E80B50"/>
    <w:rsid w:val="02EE0D23"/>
    <w:rsid w:val="03730A37"/>
    <w:rsid w:val="03D935C4"/>
    <w:rsid w:val="03FB5FAC"/>
    <w:rsid w:val="04147CEE"/>
    <w:rsid w:val="04346BF4"/>
    <w:rsid w:val="045D4105"/>
    <w:rsid w:val="047406A3"/>
    <w:rsid w:val="048A1558"/>
    <w:rsid w:val="048F5ED4"/>
    <w:rsid w:val="04937505"/>
    <w:rsid w:val="04A00AC0"/>
    <w:rsid w:val="04FF3EDA"/>
    <w:rsid w:val="051016A0"/>
    <w:rsid w:val="054A59E4"/>
    <w:rsid w:val="05536373"/>
    <w:rsid w:val="05BC3F61"/>
    <w:rsid w:val="064236DB"/>
    <w:rsid w:val="06624305"/>
    <w:rsid w:val="069A641D"/>
    <w:rsid w:val="069F445B"/>
    <w:rsid w:val="06CD5159"/>
    <w:rsid w:val="06FF4D9E"/>
    <w:rsid w:val="07050E90"/>
    <w:rsid w:val="07A52223"/>
    <w:rsid w:val="07DC3C94"/>
    <w:rsid w:val="07E45AC1"/>
    <w:rsid w:val="07E86CE5"/>
    <w:rsid w:val="08045292"/>
    <w:rsid w:val="085A24D3"/>
    <w:rsid w:val="08831705"/>
    <w:rsid w:val="08997E53"/>
    <w:rsid w:val="08F810C2"/>
    <w:rsid w:val="096F1031"/>
    <w:rsid w:val="09923121"/>
    <w:rsid w:val="09C84608"/>
    <w:rsid w:val="09CB7F67"/>
    <w:rsid w:val="0A4B55AD"/>
    <w:rsid w:val="0A614A54"/>
    <w:rsid w:val="0BA71ED9"/>
    <w:rsid w:val="0BE73653"/>
    <w:rsid w:val="0BF16A4F"/>
    <w:rsid w:val="0BF23A81"/>
    <w:rsid w:val="0C177FAE"/>
    <w:rsid w:val="0C481CA7"/>
    <w:rsid w:val="0C656734"/>
    <w:rsid w:val="0C91647D"/>
    <w:rsid w:val="0C9E5FE4"/>
    <w:rsid w:val="0D1A79DC"/>
    <w:rsid w:val="0D271704"/>
    <w:rsid w:val="0D2D6ED7"/>
    <w:rsid w:val="0D5B5C4B"/>
    <w:rsid w:val="0D6714BA"/>
    <w:rsid w:val="0D9D5323"/>
    <w:rsid w:val="0DB761CC"/>
    <w:rsid w:val="0E071BD4"/>
    <w:rsid w:val="0E4000E7"/>
    <w:rsid w:val="0E4213F0"/>
    <w:rsid w:val="0E8045D0"/>
    <w:rsid w:val="0F02129B"/>
    <w:rsid w:val="0F5262C3"/>
    <w:rsid w:val="10093E41"/>
    <w:rsid w:val="107019A1"/>
    <w:rsid w:val="1082301D"/>
    <w:rsid w:val="10BB36D0"/>
    <w:rsid w:val="114A009D"/>
    <w:rsid w:val="11647E85"/>
    <w:rsid w:val="11AF3877"/>
    <w:rsid w:val="11C15920"/>
    <w:rsid w:val="11CB154F"/>
    <w:rsid w:val="123D5BC2"/>
    <w:rsid w:val="12451934"/>
    <w:rsid w:val="12582410"/>
    <w:rsid w:val="125F420A"/>
    <w:rsid w:val="129B7938"/>
    <w:rsid w:val="129E1A25"/>
    <w:rsid w:val="13496AA0"/>
    <w:rsid w:val="1362562C"/>
    <w:rsid w:val="13BE6F3D"/>
    <w:rsid w:val="14522A57"/>
    <w:rsid w:val="148B2730"/>
    <w:rsid w:val="14C04706"/>
    <w:rsid w:val="14C41CA7"/>
    <w:rsid w:val="14DD1A8A"/>
    <w:rsid w:val="14EC0B87"/>
    <w:rsid w:val="15303DDB"/>
    <w:rsid w:val="15C449D7"/>
    <w:rsid w:val="164C1AA1"/>
    <w:rsid w:val="16734801"/>
    <w:rsid w:val="16CE6ACF"/>
    <w:rsid w:val="17211A03"/>
    <w:rsid w:val="174E0D31"/>
    <w:rsid w:val="17582DD7"/>
    <w:rsid w:val="17933577"/>
    <w:rsid w:val="17A62B5F"/>
    <w:rsid w:val="17AF26AE"/>
    <w:rsid w:val="180D0EBA"/>
    <w:rsid w:val="18255B89"/>
    <w:rsid w:val="183C55D6"/>
    <w:rsid w:val="18AE5E50"/>
    <w:rsid w:val="18C3056E"/>
    <w:rsid w:val="18CF16F6"/>
    <w:rsid w:val="18D92771"/>
    <w:rsid w:val="191B61F3"/>
    <w:rsid w:val="195371DD"/>
    <w:rsid w:val="1A247446"/>
    <w:rsid w:val="1A314A35"/>
    <w:rsid w:val="1A337D7C"/>
    <w:rsid w:val="1A7A342A"/>
    <w:rsid w:val="1A7E0D39"/>
    <w:rsid w:val="1AAC4163"/>
    <w:rsid w:val="1AF00B59"/>
    <w:rsid w:val="1B2A168F"/>
    <w:rsid w:val="1BB87992"/>
    <w:rsid w:val="1C220782"/>
    <w:rsid w:val="1C703397"/>
    <w:rsid w:val="1CC72C81"/>
    <w:rsid w:val="1CEB6E70"/>
    <w:rsid w:val="1D40485D"/>
    <w:rsid w:val="1D4204DE"/>
    <w:rsid w:val="1DABDEDF"/>
    <w:rsid w:val="1DB622E3"/>
    <w:rsid w:val="1DB736E0"/>
    <w:rsid w:val="1DD71E23"/>
    <w:rsid w:val="1E153770"/>
    <w:rsid w:val="1E846396"/>
    <w:rsid w:val="1F140802"/>
    <w:rsid w:val="1F5E1217"/>
    <w:rsid w:val="1F7F07D7"/>
    <w:rsid w:val="1F8514E0"/>
    <w:rsid w:val="1F910B40"/>
    <w:rsid w:val="1F9B1C11"/>
    <w:rsid w:val="1FD02FBA"/>
    <w:rsid w:val="20637464"/>
    <w:rsid w:val="20881315"/>
    <w:rsid w:val="208B0BA7"/>
    <w:rsid w:val="208F33E4"/>
    <w:rsid w:val="20FF15FA"/>
    <w:rsid w:val="21735E4E"/>
    <w:rsid w:val="226F4B5B"/>
    <w:rsid w:val="22CA0337"/>
    <w:rsid w:val="22E01A4F"/>
    <w:rsid w:val="23BE224C"/>
    <w:rsid w:val="23C94BC5"/>
    <w:rsid w:val="23DD7834"/>
    <w:rsid w:val="245C36EE"/>
    <w:rsid w:val="24A73C7B"/>
    <w:rsid w:val="24AE2553"/>
    <w:rsid w:val="24D915AA"/>
    <w:rsid w:val="24FC582D"/>
    <w:rsid w:val="253C7DC2"/>
    <w:rsid w:val="25762180"/>
    <w:rsid w:val="26612225"/>
    <w:rsid w:val="266F027E"/>
    <w:rsid w:val="26923F66"/>
    <w:rsid w:val="26A50D17"/>
    <w:rsid w:val="26B64A28"/>
    <w:rsid w:val="26D067EB"/>
    <w:rsid w:val="275270FB"/>
    <w:rsid w:val="27B14DA1"/>
    <w:rsid w:val="27C17840"/>
    <w:rsid w:val="27E53FBD"/>
    <w:rsid w:val="289A731D"/>
    <w:rsid w:val="28D47A73"/>
    <w:rsid w:val="295563D6"/>
    <w:rsid w:val="29B65078"/>
    <w:rsid w:val="29EB260B"/>
    <w:rsid w:val="29FD48A4"/>
    <w:rsid w:val="2A512A5A"/>
    <w:rsid w:val="2A6D52BB"/>
    <w:rsid w:val="2A7F43A4"/>
    <w:rsid w:val="2AE75875"/>
    <w:rsid w:val="2B562757"/>
    <w:rsid w:val="2B5774E8"/>
    <w:rsid w:val="2B776D19"/>
    <w:rsid w:val="2BC91810"/>
    <w:rsid w:val="2BEE0C30"/>
    <w:rsid w:val="2C5316FD"/>
    <w:rsid w:val="2CBD50BB"/>
    <w:rsid w:val="2D262D70"/>
    <w:rsid w:val="2D4E524A"/>
    <w:rsid w:val="2D743B92"/>
    <w:rsid w:val="2D7633FB"/>
    <w:rsid w:val="2D9D1C15"/>
    <w:rsid w:val="2DB64EA3"/>
    <w:rsid w:val="2DE664CB"/>
    <w:rsid w:val="2EBB5572"/>
    <w:rsid w:val="2F0573C5"/>
    <w:rsid w:val="2F371A4F"/>
    <w:rsid w:val="2F5B1572"/>
    <w:rsid w:val="2F925057"/>
    <w:rsid w:val="2FCA3789"/>
    <w:rsid w:val="30284A54"/>
    <w:rsid w:val="30515B3D"/>
    <w:rsid w:val="30731647"/>
    <w:rsid w:val="313702C1"/>
    <w:rsid w:val="31390DF0"/>
    <w:rsid w:val="318F4858"/>
    <w:rsid w:val="31C77797"/>
    <w:rsid w:val="31C8363C"/>
    <w:rsid w:val="31D11C92"/>
    <w:rsid w:val="321F64D9"/>
    <w:rsid w:val="32246D98"/>
    <w:rsid w:val="324E3E9F"/>
    <w:rsid w:val="325645BE"/>
    <w:rsid w:val="32602CCC"/>
    <w:rsid w:val="32645E04"/>
    <w:rsid w:val="327A6912"/>
    <w:rsid w:val="32AF534B"/>
    <w:rsid w:val="32BF25D4"/>
    <w:rsid w:val="32EA5536"/>
    <w:rsid w:val="33554EA8"/>
    <w:rsid w:val="33624C6A"/>
    <w:rsid w:val="3369758B"/>
    <w:rsid w:val="33903835"/>
    <w:rsid w:val="339715FE"/>
    <w:rsid w:val="33C74955"/>
    <w:rsid w:val="34106986"/>
    <w:rsid w:val="34C02F0B"/>
    <w:rsid w:val="34DE0B69"/>
    <w:rsid w:val="34F45FB8"/>
    <w:rsid w:val="351C5211"/>
    <w:rsid w:val="35F14B72"/>
    <w:rsid w:val="361F53CD"/>
    <w:rsid w:val="36831724"/>
    <w:rsid w:val="3685093F"/>
    <w:rsid w:val="36D1717A"/>
    <w:rsid w:val="371669D8"/>
    <w:rsid w:val="3722627D"/>
    <w:rsid w:val="374D4BD0"/>
    <w:rsid w:val="375E7117"/>
    <w:rsid w:val="3760059A"/>
    <w:rsid w:val="37DF5CBA"/>
    <w:rsid w:val="37E03D9F"/>
    <w:rsid w:val="388B1F33"/>
    <w:rsid w:val="389379CF"/>
    <w:rsid w:val="392746BA"/>
    <w:rsid w:val="39676E2F"/>
    <w:rsid w:val="39745178"/>
    <w:rsid w:val="3ACE07FD"/>
    <w:rsid w:val="3AE2399E"/>
    <w:rsid w:val="3AF916C8"/>
    <w:rsid w:val="3B15298C"/>
    <w:rsid w:val="3B542821"/>
    <w:rsid w:val="3B605EA1"/>
    <w:rsid w:val="3BA311D8"/>
    <w:rsid w:val="3C571B84"/>
    <w:rsid w:val="3C9A6EE9"/>
    <w:rsid w:val="3CF93678"/>
    <w:rsid w:val="3D11707C"/>
    <w:rsid w:val="3D4077B4"/>
    <w:rsid w:val="3D4C2BB6"/>
    <w:rsid w:val="3D674E97"/>
    <w:rsid w:val="3D9469E7"/>
    <w:rsid w:val="3D9D0110"/>
    <w:rsid w:val="3DF52E6C"/>
    <w:rsid w:val="3E327BE4"/>
    <w:rsid w:val="3E506A5C"/>
    <w:rsid w:val="3E742F1B"/>
    <w:rsid w:val="3EAE5761"/>
    <w:rsid w:val="3F027056"/>
    <w:rsid w:val="3F115BF8"/>
    <w:rsid w:val="3F692864"/>
    <w:rsid w:val="3FAB14A4"/>
    <w:rsid w:val="406307F9"/>
    <w:rsid w:val="408B7EA4"/>
    <w:rsid w:val="4095132E"/>
    <w:rsid w:val="40E07BE9"/>
    <w:rsid w:val="40EB0DA1"/>
    <w:rsid w:val="41181C50"/>
    <w:rsid w:val="413C6DD0"/>
    <w:rsid w:val="41452DCF"/>
    <w:rsid w:val="416672FB"/>
    <w:rsid w:val="418618A7"/>
    <w:rsid w:val="41A90779"/>
    <w:rsid w:val="41E26E7E"/>
    <w:rsid w:val="41EF7E2D"/>
    <w:rsid w:val="41F84918"/>
    <w:rsid w:val="41FA1D1A"/>
    <w:rsid w:val="41FB33CB"/>
    <w:rsid w:val="42166DDD"/>
    <w:rsid w:val="42186EAD"/>
    <w:rsid w:val="42225416"/>
    <w:rsid w:val="422E3C55"/>
    <w:rsid w:val="424E3538"/>
    <w:rsid w:val="42B0403F"/>
    <w:rsid w:val="4302228F"/>
    <w:rsid w:val="43A24087"/>
    <w:rsid w:val="43B438A5"/>
    <w:rsid w:val="43B57A1C"/>
    <w:rsid w:val="43CD5988"/>
    <w:rsid w:val="43D56653"/>
    <w:rsid w:val="448C144E"/>
    <w:rsid w:val="44FA553E"/>
    <w:rsid w:val="45147CBA"/>
    <w:rsid w:val="45385055"/>
    <w:rsid w:val="45526857"/>
    <w:rsid w:val="45747950"/>
    <w:rsid w:val="458A356E"/>
    <w:rsid w:val="45C378E2"/>
    <w:rsid w:val="45E8370B"/>
    <w:rsid w:val="461B5F32"/>
    <w:rsid w:val="462A6F07"/>
    <w:rsid w:val="46307A04"/>
    <w:rsid w:val="467D1DE6"/>
    <w:rsid w:val="46AD2984"/>
    <w:rsid w:val="46C810D4"/>
    <w:rsid w:val="47002DA5"/>
    <w:rsid w:val="47BE775B"/>
    <w:rsid w:val="47C93262"/>
    <w:rsid w:val="47F93BED"/>
    <w:rsid w:val="48061E1D"/>
    <w:rsid w:val="480D6AF9"/>
    <w:rsid w:val="482E76EE"/>
    <w:rsid w:val="483528AB"/>
    <w:rsid w:val="48455675"/>
    <w:rsid w:val="486A3307"/>
    <w:rsid w:val="489F7FE5"/>
    <w:rsid w:val="48C83E8B"/>
    <w:rsid w:val="48CB6255"/>
    <w:rsid w:val="48D063E4"/>
    <w:rsid w:val="48D3783C"/>
    <w:rsid w:val="4925571A"/>
    <w:rsid w:val="49584F34"/>
    <w:rsid w:val="495F597F"/>
    <w:rsid w:val="49BC1967"/>
    <w:rsid w:val="49D824FF"/>
    <w:rsid w:val="4A122ED5"/>
    <w:rsid w:val="4A5C0016"/>
    <w:rsid w:val="4A632858"/>
    <w:rsid w:val="4B0A192E"/>
    <w:rsid w:val="4B5C52B5"/>
    <w:rsid w:val="4BD435EB"/>
    <w:rsid w:val="4BD511EE"/>
    <w:rsid w:val="4BD53D91"/>
    <w:rsid w:val="4BD90414"/>
    <w:rsid w:val="4C193A73"/>
    <w:rsid w:val="4C4357FD"/>
    <w:rsid w:val="4C707695"/>
    <w:rsid w:val="4C857D8D"/>
    <w:rsid w:val="4C9F5F8F"/>
    <w:rsid w:val="4CA90DD9"/>
    <w:rsid w:val="4CCE72D8"/>
    <w:rsid w:val="4D2C407E"/>
    <w:rsid w:val="4D5E1FB8"/>
    <w:rsid w:val="4DA87FE0"/>
    <w:rsid w:val="4DC14894"/>
    <w:rsid w:val="4DE11B9C"/>
    <w:rsid w:val="4E0B125B"/>
    <w:rsid w:val="4E9F6F5D"/>
    <w:rsid w:val="4EAD7471"/>
    <w:rsid w:val="4EF37183"/>
    <w:rsid w:val="4F461102"/>
    <w:rsid w:val="4F5B385C"/>
    <w:rsid w:val="4F5E0A40"/>
    <w:rsid w:val="505F39B0"/>
    <w:rsid w:val="50770C3B"/>
    <w:rsid w:val="507F1B93"/>
    <w:rsid w:val="50BA5CF3"/>
    <w:rsid w:val="50F63E32"/>
    <w:rsid w:val="51777908"/>
    <w:rsid w:val="51A82B31"/>
    <w:rsid w:val="51A8751D"/>
    <w:rsid w:val="51AA04CC"/>
    <w:rsid w:val="51AC3C35"/>
    <w:rsid w:val="51AD5DCC"/>
    <w:rsid w:val="523952E3"/>
    <w:rsid w:val="52622DE4"/>
    <w:rsid w:val="528C5FE2"/>
    <w:rsid w:val="52AD3BD4"/>
    <w:rsid w:val="52C66FF4"/>
    <w:rsid w:val="53114D05"/>
    <w:rsid w:val="537C3170"/>
    <w:rsid w:val="53D13584"/>
    <w:rsid w:val="5403443E"/>
    <w:rsid w:val="551760E7"/>
    <w:rsid w:val="552476F5"/>
    <w:rsid w:val="553D3607"/>
    <w:rsid w:val="55B63EC0"/>
    <w:rsid w:val="55D20EF0"/>
    <w:rsid w:val="55D553E8"/>
    <w:rsid w:val="55DC23F5"/>
    <w:rsid w:val="55DE23E4"/>
    <w:rsid w:val="560A0B38"/>
    <w:rsid w:val="5698031A"/>
    <w:rsid w:val="56B23F85"/>
    <w:rsid w:val="56B73891"/>
    <w:rsid w:val="571303B5"/>
    <w:rsid w:val="575C69B8"/>
    <w:rsid w:val="575E015B"/>
    <w:rsid w:val="577922C6"/>
    <w:rsid w:val="57DA406D"/>
    <w:rsid w:val="582320CC"/>
    <w:rsid w:val="582823B7"/>
    <w:rsid w:val="58D227E8"/>
    <w:rsid w:val="598C53D2"/>
    <w:rsid w:val="5997160D"/>
    <w:rsid w:val="59980A9C"/>
    <w:rsid w:val="59EF6E4B"/>
    <w:rsid w:val="5A233A3B"/>
    <w:rsid w:val="5A4809C1"/>
    <w:rsid w:val="5A593BA5"/>
    <w:rsid w:val="5AA12645"/>
    <w:rsid w:val="5AE14557"/>
    <w:rsid w:val="5AE16489"/>
    <w:rsid w:val="5B1B2EAA"/>
    <w:rsid w:val="5B3C61D7"/>
    <w:rsid w:val="5C046393"/>
    <w:rsid w:val="5C092DB0"/>
    <w:rsid w:val="5C4014FB"/>
    <w:rsid w:val="5C5A63FA"/>
    <w:rsid w:val="5C9600FA"/>
    <w:rsid w:val="5CBD5FBA"/>
    <w:rsid w:val="5CE478D1"/>
    <w:rsid w:val="5CF44474"/>
    <w:rsid w:val="5CF575CD"/>
    <w:rsid w:val="5D2335E1"/>
    <w:rsid w:val="5D2751E4"/>
    <w:rsid w:val="5D6D443A"/>
    <w:rsid w:val="5D815E63"/>
    <w:rsid w:val="5D831372"/>
    <w:rsid w:val="5D9D1FB8"/>
    <w:rsid w:val="5E281D35"/>
    <w:rsid w:val="5E4C6707"/>
    <w:rsid w:val="5E595973"/>
    <w:rsid w:val="5EED5B56"/>
    <w:rsid w:val="5EFB2A61"/>
    <w:rsid w:val="5F731EDD"/>
    <w:rsid w:val="5F744EF5"/>
    <w:rsid w:val="5FC07ACD"/>
    <w:rsid w:val="5FCB2747"/>
    <w:rsid w:val="60042E10"/>
    <w:rsid w:val="6011765B"/>
    <w:rsid w:val="60242340"/>
    <w:rsid w:val="60844C26"/>
    <w:rsid w:val="60CE2CCE"/>
    <w:rsid w:val="60D652DF"/>
    <w:rsid w:val="61621A13"/>
    <w:rsid w:val="618C5694"/>
    <w:rsid w:val="6200149F"/>
    <w:rsid w:val="62663329"/>
    <w:rsid w:val="628D2465"/>
    <w:rsid w:val="63041068"/>
    <w:rsid w:val="63515AC2"/>
    <w:rsid w:val="63623F4E"/>
    <w:rsid w:val="638766AF"/>
    <w:rsid w:val="6390449C"/>
    <w:rsid w:val="639635F7"/>
    <w:rsid w:val="63B548D9"/>
    <w:rsid w:val="63F475BF"/>
    <w:rsid w:val="640F2B99"/>
    <w:rsid w:val="64371B5E"/>
    <w:rsid w:val="64415954"/>
    <w:rsid w:val="64C80D68"/>
    <w:rsid w:val="64E82B83"/>
    <w:rsid w:val="650534ED"/>
    <w:rsid w:val="656034CE"/>
    <w:rsid w:val="657751F7"/>
    <w:rsid w:val="65D724A5"/>
    <w:rsid w:val="661409F6"/>
    <w:rsid w:val="664D52DC"/>
    <w:rsid w:val="66564AE4"/>
    <w:rsid w:val="66975C6E"/>
    <w:rsid w:val="670264E2"/>
    <w:rsid w:val="670A1849"/>
    <w:rsid w:val="6713408E"/>
    <w:rsid w:val="67662F90"/>
    <w:rsid w:val="67CA7ED9"/>
    <w:rsid w:val="67EA1E25"/>
    <w:rsid w:val="680A1AD3"/>
    <w:rsid w:val="685714CC"/>
    <w:rsid w:val="6869068E"/>
    <w:rsid w:val="68B61959"/>
    <w:rsid w:val="694800CD"/>
    <w:rsid w:val="69E07EF2"/>
    <w:rsid w:val="6A24197B"/>
    <w:rsid w:val="6A2D3396"/>
    <w:rsid w:val="6A525F37"/>
    <w:rsid w:val="6A67369C"/>
    <w:rsid w:val="6A9B0A0D"/>
    <w:rsid w:val="6AAC0D71"/>
    <w:rsid w:val="6AB01E51"/>
    <w:rsid w:val="6ACC2F1B"/>
    <w:rsid w:val="6AD07487"/>
    <w:rsid w:val="6AF43734"/>
    <w:rsid w:val="6B053998"/>
    <w:rsid w:val="6B08407F"/>
    <w:rsid w:val="6B191AF7"/>
    <w:rsid w:val="6B7426C9"/>
    <w:rsid w:val="6BA25887"/>
    <w:rsid w:val="6BB21AB8"/>
    <w:rsid w:val="6C0F44D9"/>
    <w:rsid w:val="6CB93DB8"/>
    <w:rsid w:val="6CD7423E"/>
    <w:rsid w:val="6D124E27"/>
    <w:rsid w:val="6D1B4626"/>
    <w:rsid w:val="6D357605"/>
    <w:rsid w:val="6D383D4E"/>
    <w:rsid w:val="6D850967"/>
    <w:rsid w:val="6D982089"/>
    <w:rsid w:val="6D9F3D40"/>
    <w:rsid w:val="6DA945B4"/>
    <w:rsid w:val="6E140408"/>
    <w:rsid w:val="6E414EFB"/>
    <w:rsid w:val="6E8152A5"/>
    <w:rsid w:val="6E8C54A6"/>
    <w:rsid w:val="6E967AC4"/>
    <w:rsid w:val="6EA62E02"/>
    <w:rsid w:val="6ED140D3"/>
    <w:rsid w:val="6FCD6F0B"/>
    <w:rsid w:val="70194D95"/>
    <w:rsid w:val="704A0E6D"/>
    <w:rsid w:val="70500265"/>
    <w:rsid w:val="70572088"/>
    <w:rsid w:val="708A46E3"/>
    <w:rsid w:val="70B05F85"/>
    <w:rsid w:val="70B84D17"/>
    <w:rsid w:val="710E4AF2"/>
    <w:rsid w:val="711645FB"/>
    <w:rsid w:val="714B2549"/>
    <w:rsid w:val="715A1587"/>
    <w:rsid w:val="71A92C30"/>
    <w:rsid w:val="71BB53E2"/>
    <w:rsid w:val="71D42CFD"/>
    <w:rsid w:val="720872F2"/>
    <w:rsid w:val="729B0341"/>
    <w:rsid w:val="72D17D15"/>
    <w:rsid w:val="72ED1F55"/>
    <w:rsid w:val="73057B25"/>
    <w:rsid w:val="73451ED1"/>
    <w:rsid w:val="73616E2D"/>
    <w:rsid w:val="73756D06"/>
    <w:rsid w:val="737C5F2D"/>
    <w:rsid w:val="73E207F9"/>
    <w:rsid w:val="741A2C40"/>
    <w:rsid w:val="74353893"/>
    <w:rsid w:val="743B253E"/>
    <w:rsid w:val="748A2DD0"/>
    <w:rsid w:val="74B63216"/>
    <w:rsid w:val="74D022A3"/>
    <w:rsid w:val="756B21AE"/>
    <w:rsid w:val="758819F7"/>
    <w:rsid w:val="75A12720"/>
    <w:rsid w:val="76606B03"/>
    <w:rsid w:val="766F7BBC"/>
    <w:rsid w:val="76934592"/>
    <w:rsid w:val="76D2633A"/>
    <w:rsid w:val="76DA0F7F"/>
    <w:rsid w:val="76F46A07"/>
    <w:rsid w:val="76FD1571"/>
    <w:rsid w:val="772C656D"/>
    <w:rsid w:val="773B20BC"/>
    <w:rsid w:val="77667C47"/>
    <w:rsid w:val="779B5878"/>
    <w:rsid w:val="77A0365C"/>
    <w:rsid w:val="78BB49BD"/>
    <w:rsid w:val="78CD77D7"/>
    <w:rsid w:val="78F217DD"/>
    <w:rsid w:val="790F5D82"/>
    <w:rsid w:val="792F4E8C"/>
    <w:rsid w:val="79A64DC2"/>
    <w:rsid w:val="79AB259F"/>
    <w:rsid w:val="79B625DA"/>
    <w:rsid w:val="7A0766C0"/>
    <w:rsid w:val="7A165BFD"/>
    <w:rsid w:val="7AFD5467"/>
    <w:rsid w:val="7B004C75"/>
    <w:rsid w:val="7B52437D"/>
    <w:rsid w:val="7B9C164C"/>
    <w:rsid w:val="7C49635B"/>
    <w:rsid w:val="7C6E5BC1"/>
    <w:rsid w:val="7C902CF5"/>
    <w:rsid w:val="7C941FF6"/>
    <w:rsid w:val="7CBF4DFD"/>
    <w:rsid w:val="7CD11582"/>
    <w:rsid w:val="7CD34E89"/>
    <w:rsid w:val="7CE14DA4"/>
    <w:rsid w:val="7D353B35"/>
    <w:rsid w:val="7D364022"/>
    <w:rsid w:val="7D9924D4"/>
    <w:rsid w:val="7DB434E8"/>
    <w:rsid w:val="7E792F09"/>
    <w:rsid w:val="7EBA5A86"/>
    <w:rsid w:val="7ECF4485"/>
    <w:rsid w:val="7ED0062C"/>
    <w:rsid w:val="7EE26B16"/>
    <w:rsid w:val="7F077BBD"/>
    <w:rsid w:val="7F20656C"/>
    <w:rsid w:val="7F6D1201"/>
    <w:rsid w:val="7F7C5721"/>
    <w:rsid w:val="7FAF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77"/>
    <w:qFormat/>
    <w:uiPriority w:val="9"/>
    <w:pPr>
      <w:keepNext/>
      <w:keepLines/>
      <w:outlineLvl w:val="0"/>
    </w:pPr>
    <w:rPr>
      <w:b/>
      <w:bCs/>
      <w:kern w:val="44"/>
      <w:sz w:val="52"/>
      <w:szCs w:val="44"/>
    </w:rPr>
  </w:style>
  <w:style w:type="paragraph" w:styleId="4">
    <w:name w:val="heading 2"/>
    <w:basedOn w:val="1"/>
    <w:next w:val="1"/>
    <w:link w:val="68"/>
    <w:qFormat/>
    <w:uiPriority w:val="9"/>
    <w:pPr>
      <w:keepNext/>
      <w:keepLines/>
      <w:outlineLvl w:val="1"/>
    </w:pPr>
    <w:rPr>
      <w:rFonts w:ascii="Cambria" w:hAnsi="Cambria"/>
      <w:b/>
      <w:bCs/>
      <w:sz w:val="32"/>
      <w:szCs w:val="32"/>
    </w:rPr>
  </w:style>
  <w:style w:type="paragraph" w:styleId="5">
    <w:name w:val="heading 3"/>
    <w:basedOn w:val="1"/>
    <w:next w:val="1"/>
    <w:link w:val="81"/>
    <w:qFormat/>
    <w:uiPriority w:val="0"/>
    <w:pPr>
      <w:keepNext/>
      <w:keepLines/>
      <w:spacing w:line="360" w:lineRule="auto"/>
      <w:outlineLvl w:val="2"/>
    </w:pPr>
    <w:rPr>
      <w:b/>
      <w:bCs/>
      <w:szCs w:val="32"/>
    </w:rPr>
  </w:style>
  <w:style w:type="paragraph" w:styleId="6">
    <w:name w:val="heading 4"/>
    <w:basedOn w:val="1"/>
    <w:next w:val="1"/>
    <w:link w:val="61"/>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keepNext/>
      <w:keepLines/>
      <w:widowControl/>
      <w:tabs>
        <w:tab w:val="left" w:pos="1440"/>
      </w:tabs>
      <w:spacing w:line="320" w:lineRule="auto"/>
      <w:ind w:left="1152" w:hanging="1152"/>
      <w:jc w:val="center"/>
      <w:outlineLvl w:val="5"/>
    </w:pPr>
    <w:rPr>
      <w:rFonts w:ascii="Arial" w:hAnsi="Arial" w:eastAsia="黑体"/>
      <w:b/>
      <w:bCs/>
      <w:sz w:val="28"/>
    </w:rPr>
  </w:style>
  <w:style w:type="character" w:default="1" w:styleId="31">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9">
    <w:name w:val="annotation subject"/>
    <w:basedOn w:val="10"/>
    <w:next w:val="10"/>
    <w:link w:val="66"/>
    <w:unhideWhenUsed/>
    <w:qFormat/>
    <w:uiPriority w:val="99"/>
    <w:rPr>
      <w:b/>
      <w:bCs/>
    </w:rPr>
  </w:style>
  <w:style w:type="paragraph" w:styleId="10">
    <w:name w:val="annotation text"/>
    <w:basedOn w:val="1"/>
    <w:link w:val="62"/>
    <w:unhideWhenUsed/>
    <w:qFormat/>
    <w:uiPriority w:val="0"/>
    <w:pPr>
      <w:jc w:val="left"/>
    </w:pPr>
  </w:style>
  <w:style w:type="paragraph" w:styleId="11">
    <w:name w:val="Body Text First Indent"/>
    <w:basedOn w:val="1"/>
    <w:qFormat/>
    <w:uiPriority w:val="0"/>
    <w:pPr>
      <w:ind w:firstLine="420" w:firstLineChars="100"/>
    </w:pPr>
    <w:rPr>
      <w:szCs w:val="24"/>
    </w:rPr>
  </w:style>
  <w:style w:type="paragraph" w:styleId="12">
    <w:name w:val="Normal Indent"/>
    <w:basedOn w:val="1"/>
    <w:link w:val="60"/>
    <w:qFormat/>
    <w:uiPriority w:val="0"/>
    <w:pPr>
      <w:spacing w:line="360" w:lineRule="auto"/>
      <w:ind w:firstLine="200" w:firstLineChars="200"/>
    </w:pPr>
    <w:rPr>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semiHidden/>
    <w:qFormat/>
    <w:uiPriority w:val="0"/>
    <w:pPr>
      <w:shd w:val="clear" w:color="auto" w:fill="000080"/>
    </w:pPr>
  </w:style>
  <w:style w:type="paragraph" w:styleId="15">
    <w:name w:val="Body Text 3"/>
    <w:basedOn w:val="1"/>
    <w:link w:val="78"/>
    <w:unhideWhenUsed/>
    <w:qFormat/>
    <w:uiPriority w:val="99"/>
    <w:pPr>
      <w:spacing w:after="120"/>
    </w:pPr>
    <w:rPr>
      <w:sz w:val="16"/>
      <w:szCs w:val="16"/>
    </w:rPr>
  </w:style>
  <w:style w:type="paragraph" w:styleId="16">
    <w:name w:val="Body Text"/>
    <w:basedOn w:val="1"/>
    <w:link w:val="55"/>
    <w:unhideWhenUsed/>
    <w:qFormat/>
    <w:uiPriority w:val="99"/>
    <w:pPr>
      <w:spacing w:after="120"/>
    </w:pPr>
    <w:rPr>
      <w:sz w:val="21"/>
    </w:rPr>
  </w:style>
  <w:style w:type="paragraph" w:styleId="17">
    <w:name w:val="toc 5"/>
    <w:basedOn w:val="1"/>
    <w:next w:val="1"/>
    <w:unhideWhenUsed/>
    <w:qFormat/>
    <w:uiPriority w:val="39"/>
    <w:pPr>
      <w:ind w:left="1680" w:leftChars="800"/>
    </w:pPr>
  </w:style>
  <w:style w:type="paragraph" w:styleId="18">
    <w:name w:val="toc 3"/>
    <w:basedOn w:val="1"/>
    <w:next w:val="1"/>
    <w:unhideWhenUsed/>
    <w:qFormat/>
    <w:uiPriority w:val="39"/>
    <w:pPr>
      <w:ind w:left="840" w:leftChars="400"/>
    </w:pPr>
  </w:style>
  <w:style w:type="paragraph" w:styleId="19">
    <w:name w:val="Plain Text"/>
    <w:basedOn w:val="1"/>
    <w:link w:val="70"/>
    <w:qFormat/>
    <w:uiPriority w:val="0"/>
    <w:rPr>
      <w:rFonts w:ascii="宋体" w:hAnsi="Courier New"/>
      <w:sz w:val="21"/>
      <w:szCs w:val="21"/>
    </w:rPr>
  </w:style>
  <w:style w:type="paragraph" w:styleId="20">
    <w:name w:val="Body Text Indent 2"/>
    <w:basedOn w:val="1"/>
    <w:link w:val="65"/>
    <w:unhideWhenUsed/>
    <w:qFormat/>
    <w:uiPriority w:val="99"/>
    <w:pPr>
      <w:spacing w:after="120" w:line="480" w:lineRule="auto"/>
      <w:ind w:left="420" w:leftChars="200"/>
    </w:pPr>
  </w:style>
  <w:style w:type="paragraph" w:styleId="21">
    <w:name w:val="endnote text"/>
    <w:basedOn w:val="1"/>
    <w:unhideWhenUsed/>
    <w:qFormat/>
    <w:uiPriority w:val="0"/>
    <w:pPr>
      <w:snapToGrid w:val="0"/>
      <w:jc w:val="left"/>
    </w:pPr>
    <w:rPr>
      <w:rFonts w:ascii="宋体" w:hAnsi="宋体"/>
      <w:kern w:val="0"/>
      <w:sz w:val="28"/>
    </w:rPr>
  </w:style>
  <w:style w:type="paragraph" w:styleId="22">
    <w:name w:val="Balloon Text"/>
    <w:basedOn w:val="1"/>
    <w:link w:val="74"/>
    <w:unhideWhenUsed/>
    <w:qFormat/>
    <w:uiPriority w:val="99"/>
    <w:rPr>
      <w:sz w:val="18"/>
      <w:szCs w:val="18"/>
    </w:rPr>
  </w:style>
  <w:style w:type="paragraph" w:styleId="23">
    <w:name w:val="footer"/>
    <w:basedOn w:val="1"/>
    <w:link w:val="73"/>
    <w:unhideWhenUsed/>
    <w:qFormat/>
    <w:uiPriority w:val="99"/>
    <w:pPr>
      <w:tabs>
        <w:tab w:val="center" w:pos="4153"/>
        <w:tab w:val="right" w:pos="8306"/>
      </w:tabs>
      <w:snapToGrid w:val="0"/>
      <w:jc w:val="left"/>
    </w:pPr>
    <w:rPr>
      <w:kern w:val="0"/>
      <w:sz w:val="18"/>
      <w:szCs w:val="18"/>
    </w:rPr>
  </w:style>
  <w:style w:type="paragraph" w:styleId="24">
    <w:name w:val="header"/>
    <w:basedOn w:val="1"/>
    <w:link w:val="5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unhideWhenUsed/>
    <w:qFormat/>
    <w:uiPriority w:val="39"/>
    <w:pPr>
      <w:tabs>
        <w:tab w:val="right" w:leader="dot" w:pos="9288"/>
      </w:tabs>
    </w:pPr>
    <w:rPr>
      <w:b/>
    </w:rPr>
  </w:style>
  <w:style w:type="paragraph" w:styleId="26">
    <w:name w:val="index heading"/>
    <w:basedOn w:val="1"/>
    <w:next w:val="27"/>
    <w:qFormat/>
    <w:uiPriority w:val="0"/>
    <w:rPr>
      <w:sz w:val="21"/>
      <w:szCs w:val="20"/>
    </w:rPr>
  </w:style>
  <w:style w:type="paragraph" w:styleId="27">
    <w:name w:val="index 1"/>
    <w:basedOn w:val="1"/>
    <w:next w:val="1"/>
    <w:unhideWhenUsed/>
    <w:qFormat/>
    <w:uiPriority w:val="99"/>
  </w:style>
  <w:style w:type="paragraph" w:styleId="28">
    <w:name w:val="Body Text Indent 3"/>
    <w:basedOn w:val="1"/>
    <w:link w:val="54"/>
    <w:qFormat/>
    <w:uiPriority w:val="0"/>
    <w:pPr>
      <w:spacing w:line="360" w:lineRule="auto"/>
      <w:ind w:firstLine="480"/>
    </w:pPr>
    <w:rPr>
      <w:szCs w:val="24"/>
    </w:rPr>
  </w:style>
  <w:style w:type="paragraph" w:styleId="29">
    <w:name w:val="toc 2"/>
    <w:basedOn w:val="1"/>
    <w:next w:val="1"/>
    <w:unhideWhenUsed/>
    <w:qFormat/>
    <w:uiPriority w:val="39"/>
    <w:pPr>
      <w:ind w:left="420" w:leftChars="200"/>
    </w:pPr>
  </w:style>
  <w:style w:type="paragraph" w:styleId="30">
    <w:name w:val="Normal (Web)"/>
    <w:basedOn w:val="1"/>
    <w:qFormat/>
    <w:uiPriority w:val="0"/>
    <w:pPr>
      <w:widowControl/>
      <w:spacing w:before="100" w:beforeAutospacing="1" w:after="100" w:afterAutospacing="1"/>
      <w:jc w:val="left"/>
    </w:pPr>
    <w:rPr>
      <w:rFonts w:ascii="宋体" w:hAnsi="宋体"/>
      <w:color w:val="000000"/>
      <w:kern w:val="0"/>
      <w:szCs w:val="24"/>
    </w:rPr>
  </w:style>
  <w:style w:type="character" w:styleId="32">
    <w:name w:val="Strong"/>
    <w:qFormat/>
    <w:uiPriority w:val="22"/>
    <w:rPr>
      <w:rFonts w:ascii="Tahoma" w:hAnsi="Tahoma" w:eastAsia="宋体"/>
      <w:b/>
      <w:bCs/>
      <w:spacing w:val="10"/>
      <w:sz w:val="24"/>
      <w:lang w:val="en-US" w:eastAsia="zh-CN" w:bidi="ar-SA"/>
    </w:rPr>
  </w:style>
  <w:style w:type="character" w:styleId="33">
    <w:name w:val="page number"/>
    <w:basedOn w:val="31"/>
    <w:qFormat/>
    <w:uiPriority w:val="0"/>
  </w:style>
  <w:style w:type="character" w:styleId="34">
    <w:name w:val="FollowedHyperlink"/>
    <w:unhideWhenUsed/>
    <w:qFormat/>
    <w:uiPriority w:val="99"/>
    <w:rPr>
      <w:rFonts w:hint="eastAsia" w:ascii="黑体" w:hAnsi="宋体" w:eastAsia="黑体" w:cs="黑体"/>
      <w:color w:val="000000"/>
      <w:u w:val="none"/>
    </w:rPr>
  </w:style>
  <w:style w:type="character" w:styleId="35">
    <w:name w:val="Emphasis"/>
    <w:basedOn w:val="31"/>
    <w:qFormat/>
    <w:uiPriority w:val="20"/>
  </w:style>
  <w:style w:type="character" w:styleId="36">
    <w:name w:val="HTML Definition"/>
    <w:basedOn w:val="31"/>
    <w:unhideWhenUsed/>
    <w:qFormat/>
    <w:uiPriority w:val="99"/>
  </w:style>
  <w:style w:type="character" w:styleId="37">
    <w:name w:val="HTML Variable"/>
    <w:basedOn w:val="31"/>
    <w:unhideWhenUsed/>
    <w:qFormat/>
    <w:uiPriority w:val="99"/>
  </w:style>
  <w:style w:type="character" w:styleId="38">
    <w:name w:val="Hyperlink"/>
    <w:qFormat/>
    <w:uiPriority w:val="99"/>
    <w:rPr>
      <w:rFonts w:ascii="黑体" w:hAnsi="宋体" w:eastAsia="黑体" w:cs="黑体"/>
      <w:color w:val="000000"/>
      <w:u w:val="none"/>
    </w:rPr>
  </w:style>
  <w:style w:type="character" w:styleId="39">
    <w:name w:val="HTML Code"/>
    <w:basedOn w:val="31"/>
    <w:unhideWhenUsed/>
    <w:qFormat/>
    <w:uiPriority w:val="99"/>
    <w:rPr>
      <w:rFonts w:hint="default" w:ascii="serif" w:hAnsi="serif" w:eastAsia="serif" w:cs="serif"/>
      <w:sz w:val="21"/>
      <w:szCs w:val="21"/>
    </w:rPr>
  </w:style>
  <w:style w:type="character" w:styleId="40">
    <w:name w:val="annotation reference"/>
    <w:basedOn w:val="31"/>
    <w:unhideWhenUsed/>
    <w:qFormat/>
    <w:uiPriority w:val="0"/>
    <w:rPr>
      <w:sz w:val="21"/>
      <w:szCs w:val="21"/>
    </w:rPr>
  </w:style>
  <w:style w:type="character" w:styleId="41">
    <w:name w:val="HTML Cite"/>
    <w:basedOn w:val="31"/>
    <w:unhideWhenUsed/>
    <w:qFormat/>
    <w:uiPriority w:val="99"/>
  </w:style>
  <w:style w:type="character" w:styleId="42">
    <w:name w:val="HTML Keyboard"/>
    <w:basedOn w:val="31"/>
    <w:unhideWhenUsed/>
    <w:qFormat/>
    <w:uiPriority w:val="99"/>
    <w:rPr>
      <w:rFonts w:ascii="serif" w:hAnsi="serif" w:eastAsia="serif" w:cs="serif"/>
      <w:vanish/>
      <w:sz w:val="21"/>
      <w:szCs w:val="21"/>
      <w:shd w:val="clear" w:color="auto" w:fill="459DF5"/>
    </w:rPr>
  </w:style>
  <w:style w:type="character" w:styleId="43">
    <w:name w:val="HTML Sample"/>
    <w:basedOn w:val="31"/>
    <w:unhideWhenUsed/>
    <w:qFormat/>
    <w:uiPriority w:val="99"/>
    <w:rPr>
      <w:rFonts w:hint="default" w:ascii="serif" w:hAnsi="serif" w:eastAsia="serif" w:cs="serif"/>
      <w:sz w:val="21"/>
      <w:szCs w:val="21"/>
    </w:r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6">
    <w:name w:val="正文 首行缩进"/>
    <w:basedOn w:val="1"/>
    <w:qFormat/>
    <w:uiPriority w:val="0"/>
    <w:pPr>
      <w:adjustRightInd w:val="0"/>
      <w:ind w:firstLine="437"/>
      <w:jc w:val="left"/>
    </w:pPr>
    <w:rPr>
      <w:rFonts w:hint="eastAsia" w:ascii="宋体" w:hAnsi="宋体"/>
      <w:kern w:val="0"/>
      <w:szCs w:val="21"/>
    </w:rPr>
  </w:style>
  <w:style w:type="paragraph" w:customStyle="1" w:styleId="47">
    <w:name w:val="表格文字"/>
    <w:basedOn w:val="1"/>
    <w:qFormat/>
    <w:uiPriority w:val="0"/>
    <w:pPr>
      <w:spacing w:before="25" w:after="25"/>
      <w:jc w:val="left"/>
    </w:pPr>
    <w:rPr>
      <w:bCs/>
      <w:spacing w:val="10"/>
      <w:kern w:val="0"/>
      <w:szCs w:val="20"/>
    </w:rPr>
  </w:style>
  <w:style w:type="character" w:customStyle="1" w:styleId="48">
    <w:name w:val="Font Style17"/>
    <w:qFormat/>
    <w:uiPriority w:val="0"/>
    <w:rPr>
      <w:rFonts w:ascii="黑体" w:eastAsia="黑体" w:cs="黑体"/>
      <w:sz w:val="28"/>
      <w:szCs w:val="28"/>
    </w:rPr>
  </w:style>
  <w:style w:type="character" w:customStyle="1" w:styleId="49">
    <w:name w:val="displayarti"/>
    <w:basedOn w:val="31"/>
    <w:qFormat/>
    <w:uiPriority w:val="0"/>
    <w:rPr>
      <w:color w:val="FFFFFF"/>
      <w:shd w:val="clear" w:color="auto" w:fill="A00000"/>
    </w:rPr>
  </w:style>
  <w:style w:type="character" w:customStyle="1" w:styleId="50">
    <w:name w:val="正文缩进 Char_0"/>
    <w:link w:val="51"/>
    <w:qFormat/>
    <w:uiPriority w:val="0"/>
    <w:rPr>
      <w:sz w:val="24"/>
    </w:rPr>
  </w:style>
  <w:style w:type="paragraph" w:customStyle="1" w:styleId="51">
    <w:name w:val="正文缩进_0"/>
    <w:basedOn w:val="1"/>
    <w:link w:val="50"/>
    <w:qFormat/>
    <w:uiPriority w:val="0"/>
    <w:pPr>
      <w:autoSpaceDE w:val="0"/>
      <w:autoSpaceDN w:val="0"/>
      <w:spacing w:line="360" w:lineRule="auto"/>
      <w:ind w:left="181" w:firstLine="420"/>
    </w:pPr>
    <w:rPr>
      <w:kern w:val="0"/>
      <w:szCs w:val="20"/>
    </w:rPr>
  </w:style>
  <w:style w:type="character" w:customStyle="1" w:styleId="52">
    <w:name w:val="页眉 Char"/>
    <w:link w:val="24"/>
    <w:qFormat/>
    <w:uiPriority w:val="99"/>
    <w:rPr>
      <w:sz w:val="18"/>
      <w:szCs w:val="18"/>
    </w:rPr>
  </w:style>
  <w:style w:type="character" w:customStyle="1" w:styleId="53">
    <w:name w:val="图 Char"/>
    <w:qFormat/>
    <w:uiPriority w:val="0"/>
    <w:rPr>
      <w:snapToGrid/>
      <w:spacing w:val="20"/>
      <w:sz w:val="24"/>
      <w:lang w:val="en-US" w:eastAsia="zh-CN"/>
    </w:rPr>
  </w:style>
  <w:style w:type="character" w:customStyle="1" w:styleId="54">
    <w:name w:val="正文文本缩进 3 Char"/>
    <w:link w:val="28"/>
    <w:qFormat/>
    <w:uiPriority w:val="0"/>
    <w:rPr>
      <w:rFonts w:ascii="Times New Roman" w:hAnsi="Times New Roman"/>
      <w:kern w:val="2"/>
      <w:sz w:val="24"/>
      <w:szCs w:val="24"/>
    </w:rPr>
  </w:style>
  <w:style w:type="character" w:customStyle="1" w:styleId="55">
    <w:name w:val="正文文本 Char"/>
    <w:link w:val="16"/>
    <w:qFormat/>
    <w:uiPriority w:val="99"/>
    <w:rPr>
      <w:kern w:val="2"/>
      <w:sz w:val="21"/>
      <w:szCs w:val="22"/>
    </w:rPr>
  </w:style>
  <w:style w:type="character" w:customStyle="1" w:styleId="56">
    <w:name w:val="redfilefwwh"/>
    <w:basedOn w:val="31"/>
    <w:qFormat/>
    <w:uiPriority w:val="0"/>
    <w:rPr>
      <w:color w:val="BA2636"/>
      <w:sz w:val="18"/>
      <w:szCs w:val="18"/>
    </w:rPr>
  </w:style>
  <w:style w:type="character" w:customStyle="1" w:styleId="57">
    <w:name w:val="cfdate"/>
    <w:basedOn w:val="31"/>
    <w:qFormat/>
    <w:uiPriority w:val="0"/>
    <w:rPr>
      <w:color w:val="333333"/>
      <w:sz w:val="18"/>
      <w:szCs w:val="18"/>
    </w:rPr>
  </w:style>
  <w:style w:type="character" w:customStyle="1" w:styleId="58">
    <w:name w:val="彩色列表字符"/>
    <w:link w:val="59"/>
    <w:qFormat/>
    <w:locked/>
    <w:uiPriority w:val="99"/>
    <w:rPr>
      <w:kern w:val="2"/>
      <w:sz w:val="24"/>
      <w:szCs w:val="22"/>
    </w:rPr>
  </w:style>
  <w:style w:type="paragraph" w:customStyle="1" w:styleId="59">
    <w:name w:val="彩色列表1"/>
    <w:basedOn w:val="1"/>
    <w:link w:val="58"/>
    <w:qFormat/>
    <w:uiPriority w:val="99"/>
    <w:pPr>
      <w:ind w:firstLine="420" w:firstLineChars="200"/>
    </w:pPr>
  </w:style>
  <w:style w:type="character" w:customStyle="1" w:styleId="60">
    <w:name w:val="正文缩进 Char"/>
    <w:link w:val="12"/>
    <w:qFormat/>
    <w:locked/>
    <w:uiPriority w:val="0"/>
    <w:rPr>
      <w:kern w:val="2"/>
      <w:sz w:val="24"/>
    </w:rPr>
  </w:style>
  <w:style w:type="character" w:customStyle="1" w:styleId="61">
    <w:name w:val="标题 4 Char"/>
    <w:link w:val="6"/>
    <w:qFormat/>
    <w:uiPriority w:val="9"/>
    <w:rPr>
      <w:rFonts w:ascii="Cambria" w:hAnsi="Cambria" w:eastAsia="宋体" w:cs="Times New Roman"/>
      <w:b/>
      <w:bCs/>
      <w:kern w:val="2"/>
      <w:sz w:val="28"/>
      <w:szCs w:val="28"/>
    </w:rPr>
  </w:style>
  <w:style w:type="character" w:customStyle="1" w:styleId="62">
    <w:name w:val="批注文字 Char"/>
    <w:link w:val="10"/>
    <w:qFormat/>
    <w:uiPriority w:val="0"/>
    <w:rPr>
      <w:kern w:val="2"/>
      <w:sz w:val="24"/>
      <w:szCs w:val="22"/>
    </w:rPr>
  </w:style>
  <w:style w:type="character" w:customStyle="1" w:styleId="63">
    <w:name w:val="图 Char Char"/>
    <w:link w:val="64"/>
    <w:qFormat/>
    <w:uiPriority w:val="0"/>
    <w:rPr>
      <w:rFonts w:ascii="Times New Roman" w:hAnsi="Times New Roman"/>
      <w:snapToGrid/>
      <w:spacing w:val="20"/>
      <w:sz w:val="24"/>
      <w:lang w:val="en-US" w:eastAsia="zh-CN"/>
    </w:rPr>
  </w:style>
  <w:style w:type="paragraph" w:customStyle="1" w:styleId="64">
    <w:name w:val="图"/>
    <w:basedOn w:val="1"/>
    <w:link w:val="63"/>
    <w:qFormat/>
    <w:uiPriority w:val="0"/>
    <w:pPr>
      <w:keepNext/>
      <w:adjustRightInd w:val="0"/>
      <w:spacing w:before="60" w:after="60" w:line="300" w:lineRule="auto"/>
      <w:jc w:val="center"/>
      <w:textAlignment w:val="center"/>
    </w:pPr>
    <w:rPr>
      <w:spacing w:val="20"/>
      <w:kern w:val="0"/>
      <w:szCs w:val="20"/>
    </w:rPr>
  </w:style>
  <w:style w:type="character" w:customStyle="1" w:styleId="65">
    <w:name w:val="正文文本缩进 2 Char"/>
    <w:link w:val="20"/>
    <w:semiHidden/>
    <w:qFormat/>
    <w:uiPriority w:val="99"/>
    <w:rPr>
      <w:kern w:val="2"/>
      <w:sz w:val="24"/>
      <w:szCs w:val="22"/>
    </w:rPr>
  </w:style>
  <w:style w:type="character" w:customStyle="1" w:styleId="66">
    <w:name w:val="批注主题 Char"/>
    <w:link w:val="9"/>
    <w:semiHidden/>
    <w:qFormat/>
    <w:uiPriority w:val="99"/>
    <w:rPr>
      <w:b/>
      <w:bCs/>
      <w:kern w:val="2"/>
      <w:sz w:val="24"/>
      <w:szCs w:val="22"/>
    </w:rPr>
  </w:style>
  <w:style w:type="character" w:customStyle="1" w:styleId="67">
    <w:name w:val="redfilenumber"/>
    <w:basedOn w:val="31"/>
    <w:qFormat/>
    <w:uiPriority w:val="0"/>
    <w:rPr>
      <w:color w:val="BA2636"/>
      <w:sz w:val="18"/>
      <w:szCs w:val="18"/>
    </w:rPr>
  </w:style>
  <w:style w:type="character" w:customStyle="1" w:styleId="68">
    <w:name w:val="标题 2 Char"/>
    <w:link w:val="4"/>
    <w:qFormat/>
    <w:uiPriority w:val="9"/>
    <w:rPr>
      <w:rFonts w:ascii="Cambria" w:hAnsi="Cambria" w:eastAsia="宋体" w:cs="Times New Roman"/>
      <w:b/>
      <w:bCs/>
      <w:kern w:val="2"/>
      <w:sz w:val="32"/>
      <w:szCs w:val="32"/>
    </w:rPr>
  </w:style>
  <w:style w:type="character" w:customStyle="1" w:styleId="69">
    <w:name w:val="fontstrikethrough"/>
    <w:basedOn w:val="31"/>
    <w:qFormat/>
    <w:uiPriority w:val="0"/>
    <w:rPr>
      <w:strike/>
    </w:rPr>
  </w:style>
  <w:style w:type="character" w:customStyle="1" w:styleId="70">
    <w:name w:val="纯文本 Char1"/>
    <w:link w:val="19"/>
    <w:qFormat/>
    <w:uiPriority w:val="0"/>
    <w:rPr>
      <w:rFonts w:ascii="宋体" w:hAnsi="Courier New" w:cs="Courier New"/>
      <w:kern w:val="2"/>
      <w:sz w:val="21"/>
      <w:szCs w:val="21"/>
    </w:rPr>
  </w:style>
  <w:style w:type="character" w:customStyle="1" w:styleId="71">
    <w:name w:val="纯文本 Char"/>
    <w:semiHidden/>
    <w:qFormat/>
    <w:uiPriority w:val="99"/>
    <w:rPr>
      <w:rFonts w:ascii="宋体" w:hAnsi="Courier New" w:cs="Courier New"/>
      <w:kern w:val="2"/>
      <w:sz w:val="21"/>
      <w:szCs w:val="21"/>
    </w:rPr>
  </w:style>
  <w:style w:type="character" w:customStyle="1" w:styleId="72">
    <w:name w:val="qxdate"/>
    <w:basedOn w:val="31"/>
    <w:qFormat/>
    <w:uiPriority w:val="0"/>
    <w:rPr>
      <w:color w:val="333333"/>
      <w:sz w:val="18"/>
      <w:szCs w:val="18"/>
    </w:rPr>
  </w:style>
  <w:style w:type="character" w:customStyle="1" w:styleId="73">
    <w:name w:val="页脚 Char"/>
    <w:link w:val="23"/>
    <w:qFormat/>
    <w:uiPriority w:val="99"/>
    <w:rPr>
      <w:sz w:val="18"/>
      <w:szCs w:val="18"/>
    </w:rPr>
  </w:style>
  <w:style w:type="character" w:customStyle="1" w:styleId="74">
    <w:name w:val="批注框文本 Char"/>
    <w:link w:val="22"/>
    <w:semiHidden/>
    <w:qFormat/>
    <w:uiPriority w:val="99"/>
    <w:rPr>
      <w:kern w:val="2"/>
      <w:sz w:val="18"/>
      <w:szCs w:val="18"/>
    </w:rPr>
  </w:style>
  <w:style w:type="character" w:customStyle="1" w:styleId="75">
    <w:name w:val="fontborder"/>
    <w:basedOn w:val="31"/>
    <w:qFormat/>
    <w:uiPriority w:val="0"/>
    <w:rPr>
      <w:bdr w:val="single" w:color="000000" w:sz="6" w:space="0"/>
    </w:rPr>
  </w:style>
  <w:style w:type="character" w:customStyle="1" w:styleId="76">
    <w:name w:val="gjfg"/>
    <w:basedOn w:val="31"/>
    <w:qFormat/>
    <w:uiPriority w:val="0"/>
  </w:style>
  <w:style w:type="character" w:customStyle="1" w:styleId="77">
    <w:name w:val="标题 1 Char"/>
    <w:link w:val="3"/>
    <w:qFormat/>
    <w:uiPriority w:val="9"/>
    <w:rPr>
      <w:b/>
      <w:bCs/>
      <w:kern w:val="44"/>
      <w:sz w:val="52"/>
      <w:szCs w:val="44"/>
    </w:rPr>
  </w:style>
  <w:style w:type="character" w:customStyle="1" w:styleId="78">
    <w:name w:val="正文文本 3 Char"/>
    <w:link w:val="15"/>
    <w:semiHidden/>
    <w:qFormat/>
    <w:uiPriority w:val="99"/>
    <w:rPr>
      <w:kern w:val="2"/>
      <w:sz w:val="16"/>
      <w:szCs w:val="16"/>
    </w:rPr>
  </w:style>
  <w:style w:type="character" w:customStyle="1" w:styleId="79">
    <w:name w:val="批注文字 Char1"/>
    <w:basedOn w:val="31"/>
    <w:semiHidden/>
    <w:qFormat/>
    <w:locked/>
    <w:uiPriority w:val="0"/>
    <w:rPr>
      <w:kern w:val="2"/>
      <w:sz w:val="24"/>
    </w:rPr>
  </w:style>
  <w:style w:type="character" w:customStyle="1" w:styleId="80">
    <w:name w:val="fontstyle01"/>
    <w:basedOn w:val="31"/>
    <w:qFormat/>
    <w:uiPriority w:val="0"/>
    <w:rPr>
      <w:rFonts w:ascii="宋体" w:hAnsi="宋体" w:eastAsia="宋体" w:cs="宋体"/>
      <w:color w:val="000000"/>
      <w:sz w:val="22"/>
      <w:szCs w:val="22"/>
    </w:rPr>
  </w:style>
  <w:style w:type="character" w:customStyle="1" w:styleId="81">
    <w:name w:val="标题 3 Char"/>
    <w:link w:val="5"/>
    <w:qFormat/>
    <w:uiPriority w:val="0"/>
    <w:rPr>
      <w:rFonts w:ascii="Times New Roman" w:hAnsi="Times New Roman"/>
      <w:b/>
      <w:bCs/>
      <w:kern w:val="2"/>
      <w:sz w:val="24"/>
      <w:szCs w:val="32"/>
    </w:rPr>
  </w:style>
  <w:style w:type="paragraph" w:customStyle="1" w:styleId="82">
    <w:name w:val="标题 2_0"/>
    <w:basedOn w:val="83"/>
    <w:next w:val="83"/>
    <w:unhideWhenUsed/>
    <w:qFormat/>
    <w:uiPriority w:val="0"/>
    <w:pPr>
      <w:keepNext/>
      <w:keepLines/>
      <w:spacing w:line="415" w:lineRule="auto"/>
      <w:outlineLvl w:val="1"/>
    </w:pPr>
    <w:rPr>
      <w:rFonts w:ascii="Cambria" w:hAnsi="Cambria"/>
      <w:b/>
      <w:bCs/>
      <w:kern w:val="0"/>
      <w:sz w:val="32"/>
      <w:szCs w:val="32"/>
    </w:rPr>
  </w:style>
  <w:style w:type="paragraph" w:customStyle="1" w:styleId="83">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87">
    <w:name w:val="题注4"/>
    <w:basedOn w:val="1"/>
    <w:next w:val="13"/>
    <w:qFormat/>
    <w:uiPriority w:val="99"/>
    <w:pPr>
      <w:ind w:left="-40" w:leftChars="-41" w:right="-107" w:rightChars="-51" w:hanging="46"/>
      <w:jc w:val="center"/>
    </w:pPr>
    <w:rPr>
      <w:b/>
      <w:color w:val="000000"/>
      <w:sz w:val="18"/>
      <w:szCs w:val="21"/>
      <w:lang w:val="en-GB"/>
    </w:rPr>
  </w:style>
  <w:style w:type="paragraph" w:customStyle="1" w:styleId="88">
    <w:name w:val="List Paragraph"/>
    <w:basedOn w:val="1"/>
    <w:qFormat/>
    <w:uiPriority w:val="0"/>
    <w:pPr>
      <w:ind w:firstLine="420" w:firstLineChars="200"/>
    </w:pPr>
  </w:style>
  <w:style w:type="paragraph" w:customStyle="1" w:styleId="89">
    <w:name w:val="题注6"/>
    <w:basedOn w:val="1"/>
    <w:next w:val="13"/>
    <w:qFormat/>
    <w:uiPriority w:val="99"/>
    <w:pPr>
      <w:tabs>
        <w:tab w:val="left" w:pos="720"/>
      </w:tabs>
      <w:ind w:left="720"/>
    </w:pPr>
    <w:rPr>
      <w:bCs/>
      <w:color w:val="FF0000"/>
      <w:sz w:val="21"/>
      <w:szCs w:val="24"/>
      <w:lang w:val="en-GB"/>
    </w:rPr>
  </w:style>
  <w:style w:type="paragraph" w:customStyle="1" w:styleId="90">
    <w:name w:val="列出段落1"/>
    <w:unhideWhenUsed/>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91">
    <w:name w:val="Char"/>
    <w:basedOn w:val="1"/>
    <w:qFormat/>
    <w:uiPriority w:val="0"/>
    <w:rPr>
      <w:rFonts w:ascii="Tahoma" w:hAnsi="Tahoma"/>
      <w:szCs w:val="20"/>
    </w:rPr>
  </w:style>
  <w:style w:type="paragraph" w:customStyle="1" w:styleId="92">
    <w:name w:val="Char Char Char Char Char"/>
    <w:basedOn w:val="1"/>
    <w:qFormat/>
    <w:uiPriority w:val="0"/>
    <w:pPr>
      <w:widowControl/>
      <w:spacing w:after="160" w:line="240" w:lineRule="exact"/>
      <w:jc w:val="center"/>
    </w:pPr>
    <w:rPr>
      <w:sz w:val="21"/>
      <w:szCs w:val="24"/>
    </w:rPr>
  </w:style>
  <w:style w:type="paragraph" w:customStyle="1" w:styleId="93">
    <w:name w:val="普通(网站)_0"/>
    <w:basedOn w:val="83"/>
    <w:unhideWhenUsed/>
    <w:qFormat/>
    <w:uiPriority w:val="0"/>
    <w:pPr>
      <w:widowControl/>
      <w:spacing w:before="100" w:beforeAutospacing="1" w:after="100" w:afterAutospacing="1" w:line="283" w:lineRule="atLeast"/>
      <w:jc w:val="left"/>
    </w:pPr>
    <w:rPr>
      <w:rFonts w:ascii="宋体" w:hAnsi="宋体"/>
      <w:color w:val="000000"/>
      <w:kern w:val="0"/>
      <w:sz w:val="19"/>
    </w:rPr>
  </w:style>
  <w:style w:type="paragraph" w:customStyle="1" w:styleId="94">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95">
    <w:name w:val="表头"/>
    <w:basedOn w:val="1"/>
    <w:qFormat/>
    <w:uiPriority w:val="0"/>
    <w:pPr>
      <w:adjustRightInd w:val="0"/>
      <w:spacing w:before="120" w:after="60" w:line="420" w:lineRule="atLeast"/>
      <w:textAlignment w:val="baseline"/>
    </w:pPr>
    <w:rPr>
      <w:rFonts w:ascii="黑体" w:eastAsia="黑体"/>
      <w:b/>
      <w:kern w:val="0"/>
      <w:sz w:val="21"/>
      <w:szCs w:val="20"/>
    </w:rPr>
  </w:style>
  <w:style w:type="paragraph" w:customStyle="1" w:styleId="96">
    <w:name w:val="Char Char Char Char"/>
    <w:basedOn w:val="1"/>
    <w:qFormat/>
    <w:uiPriority w:val="0"/>
    <w:pPr>
      <w:widowControl/>
      <w:spacing w:line="400" w:lineRule="exact"/>
      <w:jc w:val="center"/>
    </w:pPr>
    <w:rPr>
      <w:rFonts w:ascii="Verdana" w:hAnsi="Verdana"/>
      <w:kern w:val="0"/>
      <w:sz w:val="21"/>
      <w:szCs w:val="20"/>
      <w:lang w:eastAsia="en-US"/>
    </w:rPr>
  </w:style>
  <w:style w:type="paragraph" w:customStyle="1" w:styleId="97">
    <w:name w:val="样式4"/>
    <w:basedOn w:val="1"/>
    <w:qFormat/>
    <w:uiPriority w:val="0"/>
    <w:pPr>
      <w:tabs>
        <w:tab w:val="left" w:pos="2328"/>
      </w:tabs>
      <w:ind w:left="2328" w:hanging="708"/>
    </w:pPr>
  </w:style>
  <w:style w:type="paragraph" w:customStyle="1" w:styleId="98">
    <w:name w:val="p0"/>
    <w:basedOn w:val="1"/>
    <w:qFormat/>
    <w:uiPriority w:val="0"/>
    <w:pPr>
      <w:widowControl/>
    </w:pPr>
    <w:rPr>
      <w:kern w:val="0"/>
      <w:szCs w:val="21"/>
    </w:rPr>
  </w:style>
  <w:style w:type="paragraph" w:customStyle="1" w:styleId="99">
    <w:name w:val="列表段落1"/>
    <w:basedOn w:val="1"/>
    <w:qFormat/>
    <w:uiPriority w:val="34"/>
    <w:pPr>
      <w:ind w:firstLine="420" w:firstLineChars="200"/>
    </w:pPr>
  </w:style>
  <w:style w:type="paragraph" w:customStyle="1" w:styleId="100">
    <w:name w:val="Char Char1 Char Char"/>
    <w:basedOn w:val="1"/>
    <w:qFormat/>
    <w:uiPriority w:val="0"/>
    <w:rPr>
      <w:sz w:val="21"/>
      <w:szCs w:val="21"/>
    </w:rPr>
  </w:style>
  <w:style w:type="paragraph" w:customStyle="1" w:styleId="101">
    <w:name w:val="WPSOffice手动目录 1"/>
    <w:qFormat/>
    <w:uiPriority w:val="0"/>
    <w:rPr>
      <w:rFonts w:ascii="Times New Roman" w:hAnsi="Times New Roman" w:eastAsia="宋体" w:cs="Times New Roman"/>
      <w:lang w:val="en-US" w:eastAsia="zh-CN" w:bidi="ar-SA"/>
    </w:rPr>
  </w:style>
  <w:style w:type="paragraph" w:customStyle="1" w:styleId="102">
    <w:name w:val="正文 New"/>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103">
    <w:name w:val="Char Char5"/>
    <w:basedOn w:val="1"/>
    <w:qFormat/>
    <w:uiPriority w:val="0"/>
    <w:pPr>
      <w:widowControl/>
      <w:spacing w:after="160" w:line="240" w:lineRule="exact"/>
      <w:jc w:val="left"/>
    </w:pPr>
    <w:rPr>
      <w:sz w:val="21"/>
      <w:szCs w:val="24"/>
    </w:rPr>
  </w:style>
  <w:style w:type="paragraph" w:customStyle="1" w:styleId="104">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_Style 1"/>
    <w:basedOn w:val="1"/>
    <w:qFormat/>
    <w:uiPriority w:val="34"/>
    <w:pPr>
      <w:ind w:firstLine="420" w:firstLineChars="200"/>
    </w:pPr>
  </w:style>
  <w:style w:type="paragraph" w:customStyle="1" w:styleId="106">
    <w:name w:val="正文1"/>
    <w:qFormat/>
    <w:uiPriority w:val="0"/>
    <w:pPr>
      <w:widowControl w:val="0"/>
      <w:jc w:val="both"/>
    </w:pPr>
    <w:rPr>
      <w:rFonts w:ascii="Calibri" w:hAnsi="Calibri" w:eastAsia="宋体" w:cs="Times New Roman"/>
      <w:lang w:val="en-US" w:eastAsia="zh-CN" w:bidi="ar-SA"/>
    </w:rPr>
  </w:style>
  <w:style w:type="paragraph" w:customStyle="1" w:styleId="107">
    <w:name w:val="￥正文"/>
    <w:basedOn w:val="1"/>
    <w:qFormat/>
    <w:uiPriority w:val="0"/>
    <w:pPr>
      <w:snapToGrid w:val="0"/>
      <w:spacing w:before="60" w:after="60" w:line="360" w:lineRule="auto"/>
      <w:ind w:firstLine="200" w:firstLineChars="200"/>
    </w:pPr>
    <w:rPr>
      <w:rFonts w:ascii="Calibri" w:hAnsi="Calibri"/>
      <w:color w:val="000000"/>
      <w:kern w:val="0"/>
      <w:szCs w:val="20"/>
    </w:rPr>
  </w:style>
  <w:style w:type="paragraph" w:customStyle="1" w:styleId="108">
    <w:name w:val="_Style 14"/>
    <w:qFormat/>
    <w:uiPriority w:val="0"/>
    <w:rPr>
      <w:rFonts w:ascii="Calibri" w:hAnsi="Calibri" w:eastAsia="宋体" w:cs="Times New Roman"/>
      <w:sz w:val="22"/>
      <w:szCs w:val="22"/>
      <w:lang w:val="en-US" w:eastAsia="zh-CN" w:bidi="ar-SA"/>
    </w:rPr>
  </w:style>
  <w:style w:type="paragraph" w:customStyle="1" w:styleId="109">
    <w:name w:val="p"/>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0">
    <w:name w:val="文本块1"/>
    <w:basedOn w:val="1"/>
    <w:qFormat/>
    <w:uiPriority w:val="0"/>
    <w:pPr>
      <w:ind w:left="1440" w:leftChars="700" w:right="1440" w:rightChars="700"/>
    </w:pPr>
  </w:style>
  <w:style w:type="paragraph" w:customStyle="1" w:styleId="111">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
    <w:name w:val="Normal_33"/>
    <w:qFormat/>
    <w:uiPriority w:val="0"/>
    <w:rPr>
      <w:rFonts w:ascii="Times New Roman" w:hAnsi="Times New Roman" w:eastAsia="Times New Roman" w:cs="Times New Roman"/>
      <w:sz w:val="24"/>
      <w:szCs w:val="24"/>
      <w:lang w:val="en-US" w:eastAsia="zh-CN" w:bidi="ar-SA"/>
    </w:rPr>
  </w:style>
  <w:style w:type="paragraph" w:customStyle="1" w:styleId="113">
    <w:name w:val="正文_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Normal"/>
    <w:qFormat/>
    <w:uiPriority w:val="0"/>
    <w:pPr>
      <w:widowControl w:val="0"/>
      <w:jc w:val="both"/>
    </w:pPr>
    <w:rPr>
      <w:rFonts w:ascii="Calibri" w:hAnsi="Calibri" w:eastAsia="宋体" w:cs="Times New Roman"/>
      <w:lang w:val="en-US" w:eastAsia="zh-CN" w:bidi="ar-SA"/>
    </w:rPr>
  </w:style>
  <w:style w:type="paragraph" w:customStyle="1" w:styleId="115">
    <w:name w:val="正文3"/>
    <w:qFormat/>
    <w:uiPriority w:val="0"/>
    <w:pPr>
      <w:widowControl w:val="0"/>
      <w:jc w:val="both"/>
    </w:pPr>
    <w:rPr>
      <w:rFonts w:ascii="Calibri" w:hAnsi="Calibri" w:eastAsia="宋体" w:cs="Times New Roman"/>
      <w:lang w:val="en-US" w:eastAsia="zh-CN" w:bidi="ar-SA"/>
    </w:rPr>
  </w:style>
  <w:style w:type="paragraph" w:customStyle="1" w:styleId="116">
    <w:name w:val="Normal_1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6821</Words>
  <Characters>38881</Characters>
  <Lines>324</Lines>
  <Paragraphs>91</Paragraphs>
  <TotalTime>3</TotalTime>
  <ScaleCrop>false</ScaleCrop>
  <LinksUpToDate>false</LinksUpToDate>
  <CharactersWithSpaces>45611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2020-08-13T11:43:00Z</dcterms:created>
  <dc:creator>l</dc:creator>
  <cp:lastModifiedBy>NTKO</cp:lastModifiedBy>
  <cp:lastPrinted>2020-11-20T12:20:00Z</cp:lastPrinted>
  <dcterms:modified xsi:type="dcterms:W3CDTF">2022-01-25T07:57:57Z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5EB5343646CF462C9DC6C52684870149</vt:lpwstr>
  </property>
</Properties>
</file>